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tiff" ContentType="image/tiff"/>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120"/>
        </w:tabs>
        <w:ind w:firstLine="0" w:firstLineChars="0"/>
        <w:jc w:val="right"/>
        <w:rPr>
          <w:rFonts w:cs="Times New Roman"/>
          <w:sz w:val="22"/>
          <w:szCs w:val="30"/>
        </w:rPr>
      </w:pPr>
      <w:r>
        <w:rPr>
          <w:rFonts w:cs="Times New Roman"/>
          <w:sz w:val="22"/>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cs="Times New Roman"/>
          <w:sz w:val="22"/>
          <w:szCs w:val="30"/>
        </w:rPr>
        <w:instrText xml:space="preserve">ADDIN CNKISM.UserStyle</w:instrText>
      </w:r>
      <w:r>
        <w:rPr>
          <w:rFonts w:cs="Times New Roman"/>
          <w:sz w:val="22"/>
          <w:szCs w:val="30"/>
        </w:rPr>
        <w:fldChar w:fldCharType="end"/>
      </w:r>
    </w:p>
    <w:p>
      <w:pPr>
        <w:tabs>
          <w:tab w:val="left" w:pos="5120"/>
        </w:tabs>
        <w:ind w:firstLine="0" w:firstLineChars="0"/>
        <w:jc w:val="center"/>
        <w:rPr>
          <w:rFonts w:cs="Times New Roman"/>
          <w:sz w:val="40"/>
          <w:szCs w:val="30"/>
        </w:rPr>
      </w:pPr>
    </w:p>
    <w:p>
      <w:pPr>
        <w:spacing w:line="720" w:lineRule="auto"/>
        <w:ind w:firstLine="0" w:firstLineChars="0"/>
        <w:jc w:val="center"/>
        <w:rPr>
          <w:rFonts w:cs="Times New Roman"/>
          <w:sz w:val="40"/>
          <w:szCs w:val="32"/>
        </w:rPr>
      </w:pPr>
      <w:r>
        <w:rPr>
          <w:rFonts w:hint="eastAsia" w:cs="Times New Roman"/>
          <w:sz w:val="40"/>
          <w:szCs w:val="32"/>
        </w:rPr>
        <w:t>汕尾市华侨管理区港仔溪</w:t>
      </w:r>
      <w:r>
        <w:rPr>
          <w:rFonts w:cs="Times New Roman"/>
          <w:sz w:val="40"/>
          <w:szCs w:val="32"/>
        </w:rPr>
        <w:t>河湖管理范围划定项目</w:t>
      </w:r>
    </w:p>
    <w:p>
      <w:pPr>
        <w:spacing w:line="720" w:lineRule="auto"/>
        <w:ind w:firstLine="0" w:firstLineChars="0"/>
        <w:jc w:val="center"/>
        <w:rPr>
          <w:rFonts w:cs="Times New Roman"/>
          <w:sz w:val="52"/>
          <w:szCs w:val="20"/>
        </w:rPr>
      </w:pPr>
      <w:r>
        <w:rPr>
          <w:rFonts w:cs="Times New Roman"/>
          <w:sz w:val="48"/>
          <w:szCs w:val="32"/>
        </w:rPr>
        <w:t>成果报告</w:t>
      </w:r>
    </w:p>
    <w:p>
      <w:pPr>
        <w:spacing w:line="720" w:lineRule="auto"/>
        <w:ind w:firstLine="0" w:firstLineChars="0"/>
        <w:jc w:val="center"/>
        <w:rPr>
          <w:rFonts w:cs="Times New Roman"/>
          <w:sz w:val="44"/>
          <w:szCs w:val="20"/>
        </w:rPr>
      </w:pPr>
      <w:bookmarkStart w:id="82" w:name="_GoBack"/>
      <w:bookmarkEnd w:id="82"/>
    </w:p>
    <w:p>
      <w:pPr>
        <w:spacing w:line="720" w:lineRule="auto"/>
        <w:ind w:firstLine="0" w:firstLineChars="0"/>
        <w:jc w:val="center"/>
        <w:rPr>
          <w:rFonts w:cs="Times New Roman"/>
          <w:sz w:val="44"/>
          <w:szCs w:val="20"/>
        </w:rPr>
      </w:pPr>
    </w:p>
    <w:p>
      <w:pPr>
        <w:spacing w:line="720" w:lineRule="auto"/>
        <w:ind w:firstLine="0" w:firstLineChars="0"/>
        <w:jc w:val="center"/>
        <w:rPr>
          <w:rFonts w:cs="Times New Roman"/>
          <w:sz w:val="44"/>
          <w:szCs w:val="20"/>
        </w:rPr>
      </w:pPr>
    </w:p>
    <w:p>
      <w:pPr>
        <w:spacing w:line="720" w:lineRule="auto"/>
        <w:ind w:firstLine="0" w:firstLineChars="0"/>
        <w:jc w:val="center"/>
        <w:rPr>
          <w:rFonts w:cs="Times New Roman"/>
          <w:sz w:val="44"/>
          <w:szCs w:val="20"/>
        </w:rPr>
      </w:pPr>
    </w:p>
    <w:p>
      <w:pPr>
        <w:ind w:firstLine="560"/>
        <w:rPr>
          <w:rFonts w:cs="Times New Roman"/>
          <w:szCs w:val="21"/>
        </w:rPr>
      </w:pPr>
    </w:p>
    <w:p>
      <w:pPr>
        <w:ind w:firstLine="0" w:firstLineChars="0"/>
        <w:jc w:val="center"/>
        <w:rPr>
          <w:rFonts w:cs="Times New Roman"/>
          <w:szCs w:val="21"/>
        </w:rPr>
      </w:pPr>
      <w:r>
        <w:rPr>
          <w:rFonts w:cs="Times New Roman"/>
          <w:szCs w:val="21"/>
        </w:rPr>
        <w:drawing>
          <wp:inline distT="0" distB="0" distL="0" distR="0">
            <wp:extent cx="958850" cy="476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58850" cy="476250"/>
                    </a:xfrm>
                    <a:prstGeom prst="rect">
                      <a:avLst/>
                    </a:prstGeom>
                    <a:noFill/>
                    <a:ln>
                      <a:noFill/>
                    </a:ln>
                  </pic:spPr>
                </pic:pic>
              </a:graphicData>
            </a:graphic>
          </wp:inline>
        </w:drawing>
      </w:r>
    </w:p>
    <w:p>
      <w:pPr>
        <w:ind w:firstLine="0" w:firstLineChars="0"/>
        <w:jc w:val="center"/>
        <w:rPr>
          <w:rFonts w:cs="Times New Roman"/>
          <w:szCs w:val="21"/>
        </w:rPr>
      </w:pPr>
    </w:p>
    <w:p>
      <w:pPr>
        <w:ind w:firstLine="0" w:firstLineChars="0"/>
        <w:jc w:val="center"/>
        <w:rPr>
          <w:rFonts w:cs="Times New Roman"/>
          <w:b/>
          <w:sz w:val="32"/>
          <w:szCs w:val="32"/>
        </w:rPr>
      </w:pPr>
      <w:r>
        <w:rPr>
          <w:rFonts w:cs="Times New Roman"/>
          <w:b/>
          <w:sz w:val="32"/>
          <w:szCs w:val="32"/>
        </w:rPr>
        <w:t>广东省水利水电科学研究院</w:t>
      </w:r>
    </w:p>
    <w:p>
      <w:pPr>
        <w:ind w:firstLine="0" w:firstLineChars="0"/>
        <w:jc w:val="center"/>
        <w:rPr>
          <w:rFonts w:cs="Times New Roman"/>
          <w:sz w:val="30"/>
          <w:szCs w:val="30"/>
        </w:rPr>
      </w:pPr>
      <w:r>
        <w:rPr>
          <w:rFonts w:cs="Times New Roman"/>
          <w:sz w:val="30"/>
          <w:szCs w:val="30"/>
        </w:rPr>
        <w:t>二〇二〇年</w:t>
      </w:r>
      <w:r>
        <w:rPr>
          <w:rFonts w:hint="eastAsia" w:cs="Times New Roman"/>
          <w:sz w:val="30"/>
          <w:szCs w:val="30"/>
        </w:rPr>
        <w:t>十</w:t>
      </w:r>
      <w:r>
        <w:rPr>
          <w:rFonts w:cs="Times New Roman"/>
          <w:sz w:val="30"/>
          <w:szCs w:val="30"/>
        </w:rPr>
        <w:t>月</w:t>
      </w:r>
    </w:p>
    <w:p>
      <w:pPr>
        <w:ind w:firstLine="0" w:firstLineChars="0"/>
        <w:jc w:val="center"/>
        <w:rPr>
          <w:rFonts w:cs="Times New Roman"/>
          <w:sz w:val="30"/>
          <w:szCs w:val="30"/>
        </w:rPr>
      </w:pPr>
    </w:p>
    <w:p>
      <w:pPr>
        <w:spacing w:line="240" w:lineRule="auto"/>
        <w:ind w:firstLine="0" w:firstLineChars="0"/>
        <w:jc w:val="center"/>
        <w:rPr>
          <w:rFonts w:cs="Times New Roman"/>
          <w:szCs w:val="28"/>
        </w:rPr>
      </w:pPr>
      <w:r>
        <w:rPr>
          <w:rFonts w:cs="Times New Roman"/>
          <w:sz w:val="30"/>
          <w:szCs w:val="30"/>
        </w:rPr>
        <w:drawing>
          <wp:inline distT="0" distB="0" distL="0" distR="0">
            <wp:extent cx="5478780" cy="7736840"/>
            <wp:effectExtent l="0" t="0" r="7620" b="0"/>
            <wp:docPr id="3" name="图片 3" descr="E:\资质页\广东省水利水电科学研究院工程咨询单位甲级资信证书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资质页\广东省水利水电科学研究院工程咨询单位甲级资信证书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33140" cy="7813061"/>
                    </a:xfrm>
                    <a:prstGeom prst="rect">
                      <a:avLst/>
                    </a:prstGeom>
                    <a:noFill/>
                    <a:ln>
                      <a:noFill/>
                    </a:ln>
                  </pic:spPr>
                </pic:pic>
              </a:graphicData>
            </a:graphic>
          </wp:inline>
        </w:drawing>
      </w:r>
      <w:r>
        <w:rPr>
          <w:rFonts w:cs="Times New Roman"/>
          <w:szCs w:val="28"/>
        </w:rPr>
        <w:drawing>
          <wp:inline distT="0" distB="0" distL="0" distR="0">
            <wp:extent cx="5476875" cy="775398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81815" cy="7761061"/>
                    </a:xfrm>
                    <a:prstGeom prst="rect">
                      <a:avLst/>
                    </a:prstGeom>
                    <a:noFill/>
                    <a:ln>
                      <a:noFill/>
                    </a:ln>
                  </pic:spPr>
                </pic:pic>
              </a:graphicData>
            </a:graphic>
          </wp:inline>
        </w:drawing>
      </w:r>
    </w:p>
    <w:p>
      <w:pPr>
        <w:widowControl/>
        <w:spacing w:line="240" w:lineRule="auto"/>
        <w:ind w:firstLine="0" w:firstLineChars="0"/>
        <w:jc w:val="left"/>
        <w:rPr>
          <w:rFonts w:cs="Times New Roman"/>
          <w:szCs w:val="28"/>
        </w:rPr>
      </w:pPr>
    </w:p>
    <w:p>
      <w:pPr>
        <w:widowControl/>
        <w:spacing w:line="240" w:lineRule="auto"/>
        <w:ind w:firstLine="0" w:firstLineChars="0"/>
        <w:jc w:val="left"/>
        <w:rPr>
          <w:rFonts w:cs="Times New Roman"/>
          <w:szCs w:val="28"/>
        </w:rPr>
      </w:pPr>
      <w:r>
        <w:rPr>
          <w:rFonts w:cs="Times New Roman"/>
          <w:szCs w:val="28"/>
        </w:rPr>
        <w:drawing>
          <wp:inline distT="0" distB="0" distL="0" distR="0">
            <wp:extent cx="5469255" cy="77387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79314" cy="7753216"/>
                    </a:xfrm>
                    <a:prstGeom prst="rect">
                      <a:avLst/>
                    </a:prstGeom>
                    <a:noFill/>
                    <a:ln>
                      <a:noFill/>
                    </a:ln>
                  </pic:spPr>
                </pic:pic>
              </a:graphicData>
            </a:graphic>
          </wp:inline>
        </w:drawing>
      </w:r>
    </w:p>
    <w:p>
      <w:pPr>
        <w:widowControl/>
        <w:spacing w:line="240" w:lineRule="auto"/>
        <w:ind w:firstLine="0" w:firstLineChars="0"/>
        <w:jc w:val="left"/>
        <w:rPr>
          <w:rFonts w:eastAsia="黑体" w:cs="Times New Roman"/>
          <w:sz w:val="30"/>
          <w:szCs w:val="30"/>
        </w:rPr>
        <w:sectPr>
          <w:headerReference r:id="rId5" w:type="first"/>
          <w:footerReference r:id="rId8" w:type="first"/>
          <w:headerReference r:id="rId3" w:type="default"/>
          <w:footerReference r:id="rId6" w:type="default"/>
          <w:headerReference r:id="rId4" w:type="even"/>
          <w:footerReference r:id="rId7" w:type="even"/>
          <w:pgSz w:w="11906" w:h="16838"/>
          <w:pgMar w:top="1440" w:right="1644" w:bottom="1440" w:left="1644" w:header="851" w:footer="454" w:gutter="0"/>
          <w:pgNumType w:fmt="upperRoman" w:start="1"/>
          <w:cols w:space="425" w:num="1"/>
          <w:docGrid w:type="lines" w:linePitch="381" w:charSpace="0"/>
        </w:sectPr>
      </w:pPr>
      <w:r>
        <w:rPr>
          <w:rFonts w:cs="Times New Roman"/>
          <w:szCs w:val="28"/>
        </w:rPr>
        <w:drawing>
          <wp:inline distT="0" distB="0" distL="0" distR="0">
            <wp:extent cx="5476875" cy="7763510"/>
            <wp:effectExtent l="0" t="0" r="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94386" cy="7788386"/>
                    </a:xfrm>
                    <a:prstGeom prst="rect">
                      <a:avLst/>
                    </a:prstGeom>
                    <a:noFill/>
                    <a:ln>
                      <a:noFill/>
                    </a:ln>
                  </pic:spPr>
                </pic:pic>
              </a:graphicData>
            </a:graphic>
          </wp:inline>
        </w:drawing>
      </w:r>
    </w:p>
    <w:tbl>
      <w:tblPr>
        <w:tblStyle w:val="27"/>
        <w:tblpPr w:leftFromText="180" w:rightFromText="180" w:vertAnchor="page" w:horzAnchor="margin" w:tblpY="1753"/>
        <w:tblW w:w="0" w:type="auto"/>
        <w:tblInd w:w="0" w:type="dxa"/>
        <w:tblLayout w:type="fixed"/>
        <w:tblCellMar>
          <w:top w:w="0" w:type="dxa"/>
          <w:left w:w="108" w:type="dxa"/>
          <w:bottom w:w="0" w:type="dxa"/>
          <w:right w:w="108" w:type="dxa"/>
        </w:tblCellMar>
      </w:tblPr>
      <w:tblGrid>
        <w:gridCol w:w="2344"/>
        <w:gridCol w:w="6161"/>
      </w:tblGrid>
      <w:tr>
        <w:tblPrEx>
          <w:tblCellMar>
            <w:top w:w="0" w:type="dxa"/>
            <w:left w:w="108" w:type="dxa"/>
            <w:bottom w:w="0" w:type="dxa"/>
            <w:right w:w="108" w:type="dxa"/>
          </w:tblCellMar>
        </w:tblPrEx>
        <w:trPr>
          <w:trHeight w:val="567" w:hRule="exact"/>
        </w:trPr>
        <w:tc>
          <w:tcPr>
            <w:tcW w:w="2344" w:type="dxa"/>
            <w:vAlign w:val="center"/>
          </w:tcPr>
          <w:p>
            <w:pPr>
              <w:ind w:firstLine="0" w:firstLineChars="0"/>
              <w:jc w:val="distribute"/>
              <w:rPr>
                <w:rFonts w:cs="Times New Roman"/>
                <w:szCs w:val="28"/>
              </w:rPr>
            </w:pPr>
            <w:r>
              <w:rPr>
                <w:rFonts w:cs="Times New Roman"/>
                <w:szCs w:val="28"/>
              </w:rPr>
              <w:t>项 目 名 称：</w:t>
            </w:r>
          </w:p>
        </w:tc>
        <w:tc>
          <w:tcPr>
            <w:tcW w:w="6161" w:type="dxa"/>
            <w:vMerge w:val="restart"/>
            <w:vAlign w:val="center"/>
          </w:tcPr>
          <w:p>
            <w:pPr>
              <w:ind w:firstLine="0" w:firstLineChars="0"/>
              <w:jc w:val="left"/>
              <w:rPr>
                <w:rFonts w:cs="Times New Roman"/>
                <w:szCs w:val="28"/>
              </w:rPr>
            </w:pPr>
            <w:r>
              <w:rPr>
                <w:rFonts w:hint="eastAsia" w:cs="Times New Roman"/>
                <w:szCs w:val="28"/>
              </w:rPr>
              <w:t>汕尾市华侨管理区港仔溪河湖管理范围划定</w:t>
            </w:r>
            <w:r>
              <w:rPr>
                <w:rFonts w:cs="Times New Roman"/>
                <w:szCs w:val="28"/>
              </w:rPr>
              <w:t>项目成果报告</w:t>
            </w:r>
          </w:p>
          <w:p>
            <w:pPr>
              <w:ind w:firstLine="0" w:firstLineChars="0"/>
              <w:jc w:val="left"/>
              <w:rPr>
                <w:rFonts w:cs="Times New Roman"/>
                <w:szCs w:val="28"/>
              </w:rPr>
            </w:pPr>
          </w:p>
          <w:p>
            <w:pPr>
              <w:ind w:firstLine="0" w:firstLineChars="0"/>
              <w:jc w:val="left"/>
              <w:rPr>
                <w:rFonts w:cs="Times New Roman"/>
                <w:kern w:val="0"/>
                <w:szCs w:val="28"/>
              </w:rPr>
            </w:pPr>
            <w:r>
              <w:rPr>
                <w:rFonts w:cs="Times New Roman"/>
                <w:szCs w:val="28"/>
              </w:rPr>
              <w:t>浈江航道防洪评价</w:t>
            </w:r>
          </w:p>
        </w:tc>
      </w:tr>
      <w:tr>
        <w:tblPrEx>
          <w:tblCellMar>
            <w:top w:w="0" w:type="dxa"/>
            <w:left w:w="108" w:type="dxa"/>
            <w:bottom w:w="0" w:type="dxa"/>
            <w:right w:w="108" w:type="dxa"/>
          </w:tblCellMar>
        </w:tblPrEx>
        <w:trPr>
          <w:trHeight w:val="567" w:hRule="exact"/>
        </w:trPr>
        <w:tc>
          <w:tcPr>
            <w:tcW w:w="2344" w:type="dxa"/>
            <w:vAlign w:val="center"/>
          </w:tcPr>
          <w:p>
            <w:pPr>
              <w:ind w:right="-143" w:rightChars="-51" w:firstLine="560"/>
              <w:jc w:val="distribute"/>
              <w:rPr>
                <w:rFonts w:cs="Times New Roman"/>
                <w:szCs w:val="28"/>
              </w:rPr>
            </w:pPr>
          </w:p>
        </w:tc>
        <w:tc>
          <w:tcPr>
            <w:tcW w:w="6161" w:type="dxa"/>
            <w:vMerge w:val="continue"/>
            <w:vAlign w:val="center"/>
          </w:tcPr>
          <w:p>
            <w:pPr>
              <w:ind w:firstLine="560"/>
              <w:jc w:val="left"/>
              <w:rPr>
                <w:rFonts w:cs="Times New Roman"/>
                <w:kern w:val="0"/>
                <w:szCs w:val="28"/>
              </w:rPr>
            </w:pPr>
          </w:p>
        </w:tc>
      </w:tr>
      <w:tr>
        <w:tblPrEx>
          <w:tblCellMar>
            <w:top w:w="0" w:type="dxa"/>
            <w:left w:w="108" w:type="dxa"/>
            <w:bottom w:w="0" w:type="dxa"/>
            <w:right w:w="108" w:type="dxa"/>
          </w:tblCellMar>
        </w:tblPrEx>
        <w:trPr>
          <w:trHeight w:val="567" w:hRule="exact"/>
        </w:trPr>
        <w:tc>
          <w:tcPr>
            <w:tcW w:w="2344" w:type="dxa"/>
            <w:vAlign w:val="center"/>
          </w:tcPr>
          <w:p>
            <w:pPr>
              <w:ind w:firstLine="0" w:firstLineChars="0"/>
              <w:jc w:val="distribute"/>
              <w:rPr>
                <w:rFonts w:cs="Times New Roman"/>
                <w:szCs w:val="28"/>
              </w:rPr>
            </w:pPr>
            <w:r>
              <w:rPr>
                <w:rFonts w:cs="Times New Roman"/>
                <w:szCs w:val="28"/>
              </w:rPr>
              <w:t>完 成 时 间：</w:t>
            </w:r>
          </w:p>
        </w:tc>
        <w:tc>
          <w:tcPr>
            <w:tcW w:w="6161" w:type="dxa"/>
            <w:vAlign w:val="center"/>
          </w:tcPr>
          <w:p>
            <w:pPr>
              <w:ind w:firstLine="0" w:firstLineChars="0"/>
              <w:jc w:val="left"/>
              <w:rPr>
                <w:rFonts w:cs="Times New Roman"/>
                <w:bCs/>
                <w:szCs w:val="28"/>
              </w:rPr>
            </w:pPr>
            <w:r>
              <w:rPr>
                <w:rFonts w:cs="Times New Roman"/>
                <w:szCs w:val="28"/>
              </w:rPr>
              <w:t>2020年</w:t>
            </w:r>
            <w:r>
              <w:rPr>
                <w:rFonts w:hint="eastAsia" w:cs="Times New Roman"/>
                <w:szCs w:val="28"/>
              </w:rPr>
              <w:t>10</w:t>
            </w:r>
            <w:r>
              <w:rPr>
                <w:rFonts w:cs="Times New Roman"/>
                <w:szCs w:val="28"/>
              </w:rPr>
              <w:t>月</w:t>
            </w:r>
          </w:p>
        </w:tc>
      </w:tr>
      <w:tr>
        <w:tblPrEx>
          <w:tblCellMar>
            <w:top w:w="0" w:type="dxa"/>
            <w:left w:w="108" w:type="dxa"/>
            <w:bottom w:w="0" w:type="dxa"/>
            <w:right w:w="108" w:type="dxa"/>
          </w:tblCellMar>
        </w:tblPrEx>
        <w:trPr>
          <w:trHeight w:val="567" w:hRule="exact"/>
        </w:trPr>
        <w:tc>
          <w:tcPr>
            <w:tcW w:w="2344" w:type="dxa"/>
            <w:vAlign w:val="center"/>
          </w:tcPr>
          <w:p>
            <w:pPr>
              <w:ind w:firstLine="0" w:firstLineChars="0"/>
              <w:jc w:val="distribute"/>
              <w:rPr>
                <w:rFonts w:cs="Times New Roman"/>
                <w:szCs w:val="28"/>
              </w:rPr>
            </w:pPr>
            <w:r>
              <w:rPr>
                <w:rFonts w:cs="Times New Roman"/>
                <w:szCs w:val="28"/>
              </w:rPr>
              <w:t>项目委托单位：</w:t>
            </w:r>
          </w:p>
        </w:tc>
        <w:tc>
          <w:tcPr>
            <w:tcW w:w="6161" w:type="dxa"/>
            <w:vAlign w:val="center"/>
          </w:tcPr>
          <w:p>
            <w:pPr>
              <w:ind w:firstLine="0" w:firstLineChars="0"/>
              <w:jc w:val="left"/>
              <w:rPr>
                <w:rFonts w:cs="Times New Roman"/>
                <w:szCs w:val="28"/>
              </w:rPr>
            </w:pPr>
            <w:r>
              <w:rPr>
                <w:rFonts w:hint="eastAsia" w:cs="Times New Roman"/>
                <w:szCs w:val="28"/>
              </w:rPr>
              <w:t>汕尾市华侨管理区发展和财政局</w:t>
            </w:r>
          </w:p>
        </w:tc>
      </w:tr>
      <w:tr>
        <w:tblPrEx>
          <w:tblCellMar>
            <w:top w:w="0" w:type="dxa"/>
            <w:left w:w="108" w:type="dxa"/>
            <w:bottom w:w="0" w:type="dxa"/>
            <w:right w:w="108" w:type="dxa"/>
          </w:tblCellMar>
        </w:tblPrEx>
        <w:trPr>
          <w:trHeight w:val="1305" w:hRule="exact"/>
        </w:trPr>
        <w:tc>
          <w:tcPr>
            <w:tcW w:w="2344" w:type="dxa"/>
          </w:tcPr>
          <w:p>
            <w:pPr>
              <w:ind w:firstLine="0" w:firstLineChars="0"/>
              <w:jc w:val="distribute"/>
              <w:rPr>
                <w:rFonts w:cs="Times New Roman"/>
                <w:szCs w:val="28"/>
              </w:rPr>
            </w:pPr>
            <w:r>
              <w:rPr>
                <w:rFonts w:cs="Times New Roman"/>
                <w:szCs w:val="28"/>
              </w:rPr>
              <w:t>项目完成单位：</w:t>
            </w:r>
          </w:p>
        </w:tc>
        <w:tc>
          <w:tcPr>
            <w:tcW w:w="6161" w:type="dxa"/>
            <w:vAlign w:val="center"/>
          </w:tcPr>
          <w:p>
            <w:pPr>
              <w:ind w:firstLine="0" w:firstLineChars="0"/>
              <w:jc w:val="left"/>
              <w:rPr>
                <w:rFonts w:cs="Times New Roman"/>
                <w:szCs w:val="28"/>
              </w:rPr>
            </w:pPr>
            <w:r>
              <w:rPr>
                <w:rFonts w:cs="Times New Roman"/>
                <w:szCs w:val="28"/>
              </w:rPr>
              <w:t>广东省水利水电科学研究院</w:t>
            </w:r>
          </w:p>
          <w:p>
            <w:pPr>
              <w:ind w:firstLine="560"/>
              <w:jc w:val="left"/>
              <w:rPr>
                <w:rFonts w:cs="Times New Roman"/>
                <w:szCs w:val="28"/>
              </w:rPr>
            </w:pPr>
          </w:p>
        </w:tc>
      </w:tr>
      <w:tr>
        <w:tblPrEx>
          <w:tblCellMar>
            <w:top w:w="0" w:type="dxa"/>
            <w:left w:w="108" w:type="dxa"/>
            <w:bottom w:w="0" w:type="dxa"/>
            <w:right w:w="108" w:type="dxa"/>
          </w:tblCellMar>
        </w:tblPrEx>
        <w:trPr>
          <w:trHeight w:val="567" w:hRule="exact"/>
        </w:trPr>
        <w:tc>
          <w:tcPr>
            <w:tcW w:w="2344" w:type="dxa"/>
            <w:vAlign w:val="center"/>
          </w:tcPr>
          <w:p>
            <w:pPr>
              <w:ind w:firstLine="0" w:firstLineChars="0"/>
              <w:textAlignment w:val="center"/>
              <w:rPr>
                <w:rFonts w:cs="Times New Roman"/>
                <w:szCs w:val="28"/>
              </w:rPr>
            </w:pPr>
            <w:r>
              <w:rPr>
                <w:rFonts w:cs="Times New Roman"/>
                <w:szCs w:val="28"/>
              </w:rPr>
              <w:t>审          定：</w:t>
            </w:r>
          </w:p>
        </w:tc>
        <w:tc>
          <w:tcPr>
            <w:tcW w:w="6161" w:type="dxa"/>
            <w:vAlign w:val="center"/>
          </w:tcPr>
          <w:p>
            <w:pPr>
              <w:ind w:firstLine="0" w:firstLineChars="0"/>
              <w:jc w:val="left"/>
              <w:textAlignment w:val="center"/>
              <w:rPr>
                <w:rFonts w:cs="Times New Roman"/>
                <w:szCs w:val="28"/>
              </w:rPr>
            </w:pPr>
            <w:r>
              <w:rPr>
                <w:rFonts w:cs="Times New Roman"/>
                <w:szCs w:val="28"/>
              </w:rPr>
              <w:t>张从联（院副总工，教高）</w:t>
            </w:r>
          </w:p>
          <w:p>
            <w:pPr>
              <w:ind w:firstLine="0" w:firstLineChars="0"/>
              <w:jc w:val="left"/>
              <w:textAlignment w:val="center"/>
              <w:rPr>
                <w:rFonts w:cs="Times New Roman"/>
                <w:szCs w:val="28"/>
              </w:rPr>
            </w:pPr>
          </w:p>
          <w:p>
            <w:pPr>
              <w:ind w:firstLine="560"/>
              <w:jc w:val="left"/>
              <w:textAlignment w:val="center"/>
              <w:rPr>
                <w:rFonts w:cs="Times New Roman"/>
                <w:szCs w:val="28"/>
              </w:rPr>
            </w:pPr>
          </w:p>
        </w:tc>
      </w:tr>
      <w:tr>
        <w:tblPrEx>
          <w:tblCellMar>
            <w:top w:w="0" w:type="dxa"/>
            <w:left w:w="108" w:type="dxa"/>
            <w:bottom w:w="0" w:type="dxa"/>
            <w:right w:w="108" w:type="dxa"/>
          </w:tblCellMar>
        </w:tblPrEx>
        <w:trPr>
          <w:trHeight w:val="2113" w:hRule="exact"/>
        </w:trPr>
        <w:tc>
          <w:tcPr>
            <w:tcW w:w="2344" w:type="dxa"/>
            <w:vAlign w:val="center"/>
          </w:tcPr>
          <w:p>
            <w:pPr>
              <w:ind w:firstLine="0" w:firstLineChars="0"/>
              <w:textAlignment w:val="center"/>
              <w:rPr>
                <w:rFonts w:cs="Times New Roman"/>
                <w:szCs w:val="28"/>
              </w:rPr>
            </w:pPr>
            <w:r>
              <w:rPr>
                <w:rFonts w:cs="Times New Roman"/>
                <w:szCs w:val="28"/>
              </w:rPr>
              <w:t>审          查：</w:t>
            </w:r>
          </w:p>
        </w:tc>
        <w:tc>
          <w:tcPr>
            <w:tcW w:w="6161" w:type="dxa"/>
            <w:vAlign w:val="center"/>
          </w:tcPr>
          <w:p>
            <w:pPr>
              <w:ind w:firstLine="560"/>
              <w:jc w:val="left"/>
              <w:textAlignment w:val="center"/>
              <w:rPr>
                <w:rFonts w:cs="Times New Roman"/>
                <w:szCs w:val="28"/>
              </w:rPr>
            </w:pPr>
          </w:p>
          <w:p>
            <w:pPr>
              <w:ind w:firstLine="0" w:firstLineChars="0"/>
              <w:jc w:val="left"/>
              <w:textAlignment w:val="center"/>
              <w:rPr>
                <w:rFonts w:cs="Times New Roman"/>
                <w:szCs w:val="28"/>
              </w:rPr>
            </w:pPr>
            <w:r>
              <w:rPr>
                <w:rFonts w:cs="Times New Roman"/>
                <w:szCs w:val="28"/>
              </w:rPr>
              <w:t>钟伟强（所总工，教高）</w:t>
            </w:r>
          </w:p>
          <w:p>
            <w:pPr>
              <w:ind w:firstLine="0" w:firstLineChars="0"/>
              <w:jc w:val="left"/>
              <w:textAlignment w:val="center"/>
              <w:rPr>
                <w:rFonts w:cs="Times New Roman"/>
                <w:szCs w:val="28"/>
              </w:rPr>
            </w:pPr>
          </w:p>
        </w:tc>
      </w:tr>
      <w:tr>
        <w:tblPrEx>
          <w:tblCellMar>
            <w:top w:w="0" w:type="dxa"/>
            <w:left w:w="108" w:type="dxa"/>
            <w:bottom w:w="0" w:type="dxa"/>
            <w:right w:w="108" w:type="dxa"/>
          </w:tblCellMar>
        </w:tblPrEx>
        <w:trPr>
          <w:trHeight w:val="1254" w:hRule="exact"/>
        </w:trPr>
        <w:tc>
          <w:tcPr>
            <w:tcW w:w="2344" w:type="dxa"/>
            <w:vAlign w:val="center"/>
          </w:tcPr>
          <w:p>
            <w:pPr>
              <w:ind w:firstLine="0" w:firstLineChars="0"/>
              <w:textAlignment w:val="center"/>
              <w:rPr>
                <w:rFonts w:cs="Times New Roman"/>
                <w:szCs w:val="28"/>
              </w:rPr>
            </w:pPr>
            <w:r>
              <w:rPr>
                <w:rFonts w:cs="Times New Roman"/>
                <w:szCs w:val="28"/>
              </w:rPr>
              <w:t>校          核：</w:t>
            </w:r>
          </w:p>
        </w:tc>
        <w:tc>
          <w:tcPr>
            <w:tcW w:w="6161" w:type="dxa"/>
            <w:vAlign w:val="center"/>
          </w:tcPr>
          <w:p>
            <w:pPr>
              <w:ind w:firstLine="0" w:firstLineChars="0"/>
              <w:jc w:val="left"/>
              <w:textAlignment w:val="center"/>
              <w:rPr>
                <w:rFonts w:cs="Times New Roman"/>
                <w:szCs w:val="28"/>
              </w:rPr>
            </w:pPr>
            <w:r>
              <w:rPr>
                <w:rFonts w:cs="Times New Roman"/>
                <w:szCs w:val="28"/>
              </w:rPr>
              <w:t>张</w:t>
            </w:r>
            <w:r>
              <w:rPr>
                <w:rFonts w:hint="eastAsia" w:cs="Times New Roman"/>
                <w:szCs w:val="28"/>
              </w:rPr>
              <w:t>之琳</w:t>
            </w:r>
            <w:r>
              <w:rPr>
                <w:rFonts w:cs="Times New Roman"/>
                <w:szCs w:val="28"/>
              </w:rPr>
              <w:t>（博士）</w:t>
            </w:r>
          </w:p>
        </w:tc>
      </w:tr>
      <w:tr>
        <w:tblPrEx>
          <w:tblCellMar>
            <w:top w:w="0" w:type="dxa"/>
            <w:left w:w="108" w:type="dxa"/>
            <w:bottom w:w="0" w:type="dxa"/>
            <w:right w:w="108" w:type="dxa"/>
          </w:tblCellMar>
        </w:tblPrEx>
        <w:trPr>
          <w:trHeight w:val="567" w:hRule="exact"/>
        </w:trPr>
        <w:tc>
          <w:tcPr>
            <w:tcW w:w="2344" w:type="dxa"/>
            <w:vAlign w:val="center"/>
          </w:tcPr>
          <w:p>
            <w:pPr>
              <w:ind w:firstLine="0" w:firstLineChars="0"/>
              <w:textAlignment w:val="center"/>
              <w:rPr>
                <w:rFonts w:cs="Times New Roman"/>
                <w:szCs w:val="28"/>
              </w:rPr>
            </w:pPr>
            <w:r>
              <w:rPr>
                <w:rFonts w:cs="Times New Roman"/>
                <w:szCs w:val="28"/>
              </w:rPr>
              <w:t>项 目 负 责 人：</w:t>
            </w:r>
          </w:p>
        </w:tc>
        <w:tc>
          <w:tcPr>
            <w:tcW w:w="6161" w:type="dxa"/>
          </w:tcPr>
          <w:p>
            <w:pPr>
              <w:ind w:firstLine="0" w:firstLineChars="0"/>
              <w:jc w:val="left"/>
              <w:textAlignment w:val="center"/>
              <w:rPr>
                <w:rFonts w:cs="Times New Roman"/>
                <w:szCs w:val="28"/>
              </w:rPr>
            </w:pPr>
            <w:r>
              <w:rPr>
                <w:rFonts w:cs="Times New Roman"/>
                <w:szCs w:val="28"/>
              </w:rPr>
              <w:t>钟伟强  周铭浩（博士）</w:t>
            </w:r>
          </w:p>
        </w:tc>
      </w:tr>
      <w:tr>
        <w:tblPrEx>
          <w:tblCellMar>
            <w:top w:w="0" w:type="dxa"/>
            <w:left w:w="108" w:type="dxa"/>
            <w:bottom w:w="0" w:type="dxa"/>
            <w:right w:w="108" w:type="dxa"/>
          </w:tblCellMar>
        </w:tblPrEx>
        <w:trPr>
          <w:trHeight w:val="567" w:hRule="exact"/>
        </w:trPr>
        <w:tc>
          <w:tcPr>
            <w:tcW w:w="2344" w:type="dxa"/>
            <w:vAlign w:val="center"/>
          </w:tcPr>
          <w:p>
            <w:pPr>
              <w:ind w:firstLine="0" w:firstLineChars="0"/>
              <w:textAlignment w:val="center"/>
              <w:rPr>
                <w:rFonts w:cs="Times New Roman"/>
                <w:szCs w:val="28"/>
              </w:rPr>
            </w:pPr>
            <w:r>
              <w:rPr>
                <w:rFonts w:cs="Times New Roman"/>
                <w:szCs w:val="28"/>
              </w:rPr>
              <w:t>专题报告编写人：</w:t>
            </w:r>
          </w:p>
        </w:tc>
        <w:tc>
          <w:tcPr>
            <w:tcW w:w="6161" w:type="dxa"/>
          </w:tcPr>
          <w:p>
            <w:pPr>
              <w:ind w:firstLine="0" w:firstLineChars="0"/>
              <w:jc w:val="left"/>
              <w:textAlignment w:val="center"/>
              <w:rPr>
                <w:rFonts w:cs="Times New Roman"/>
                <w:szCs w:val="28"/>
              </w:rPr>
            </w:pPr>
            <w:r>
              <w:rPr>
                <w:rFonts w:cs="Times New Roman"/>
                <w:szCs w:val="28"/>
              </w:rPr>
              <w:t xml:space="preserve">周铭浩  李梓渊  </w:t>
            </w:r>
          </w:p>
        </w:tc>
      </w:tr>
      <w:tr>
        <w:tblPrEx>
          <w:tblCellMar>
            <w:top w:w="0" w:type="dxa"/>
            <w:left w:w="108" w:type="dxa"/>
            <w:bottom w:w="0" w:type="dxa"/>
            <w:right w:w="108" w:type="dxa"/>
          </w:tblCellMar>
        </w:tblPrEx>
        <w:trPr>
          <w:trHeight w:val="567" w:hRule="exact"/>
        </w:trPr>
        <w:tc>
          <w:tcPr>
            <w:tcW w:w="2344" w:type="dxa"/>
            <w:vAlign w:val="center"/>
          </w:tcPr>
          <w:p>
            <w:pPr>
              <w:ind w:firstLine="0" w:firstLineChars="0"/>
              <w:textAlignment w:val="center"/>
              <w:rPr>
                <w:rFonts w:cs="Times New Roman"/>
                <w:szCs w:val="28"/>
              </w:rPr>
            </w:pPr>
            <w:r>
              <w:rPr>
                <w:rFonts w:cs="Times New Roman"/>
                <w:szCs w:val="28"/>
              </w:rPr>
              <w:t>主要参加人员：</w:t>
            </w:r>
          </w:p>
        </w:tc>
        <w:tc>
          <w:tcPr>
            <w:tcW w:w="6161" w:type="dxa"/>
            <w:vMerge w:val="restart"/>
          </w:tcPr>
          <w:p>
            <w:pPr>
              <w:ind w:firstLine="0" w:firstLineChars="0"/>
              <w:jc w:val="left"/>
              <w:textAlignment w:val="center"/>
              <w:rPr>
                <w:rFonts w:cs="Times New Roman"/>
                <w:szCs w:val="28"/>
              </w:rPr>
            </w:pPr>
            <w:r>
              <w:rPr>
                <w:rFonts w:cs="Times New Roman"/>
                <w:szCs w:val="28"/>
              </w:rPr>
              <w:t xml:space="preserve">邱  静  </w:t>
            </w:r>
            <w:r>
              <w:rPr>
                <w:rFonts w:hint="eastAsia" w:cs="Times New Roman"/>
                <w:szCs w:val="28"/>
              </w:rPr>
              <w:t>钟伟强</w:t>
            </w:r>
            <w:r>
              <w:rPr>
                <w:rFonts w:cs="Times New Roman"/>
                <w:szCs w:val="28"/>
              </w:rPr>
              <w:t xml:space="preserve">  张之琳  </w:t>
            </w:r>
            <w:r>
              <w:rPr>
                <w:rFonts w:hint="eastAsia" w:cs="Times New Roman"/>
                <w:szCs w:val="28"/>
              </w:rPr>
              <w:t>周铭浩</w:t>
            </w:r>
            <w:r>
              <w:rPr>
                <w:rFonts w:cs="Times New Roman"/>
                <w:szCs w:val="28"/>
              </w:rPr>
              <w:t xml:space="preserve">  李梓渊</w:t>
            </w:r>
          </w:p>
          <w:p>
            <w:pPr>
              <w:ind w:firstLine="0" w:firstLineChars="0"/>
              <w:jc w:val="left"/>
              <w:textAlignment w:val="center"/>
              <w:rPr>
                <w:rFonts w:cs="Times New Roman"/>
                <w:szCs w:val="28"/>
              </w:rPr>
            </w:pPr>
            <w:r>
              <w:rPr>
                <w:rFonts w:hint="eastAsia" w:cs="Times New Roman"/>
                <w:szCs w:val="28"/>
              </w:rPr>
              <w:t xml:space="preserve">张 </w:t>
            </w:r>
            <w:r>
              <w:rPr>
                <w:rFonts w:cs="Times New Roman"/>
                <w:szCs w:val="28"/>
              </w:rPr>
              <w:t xml:space="preserve"> </w:t>
            </w:r>
            <w:r>
              <w:rPr>
                <w:rFonts w:hint="eastAsia" w:cs="Times New Roman"/>
                <w:szCs w:val="28"/>
              </w:rPr>
              <w:t xml:space="preserve">瀚 </w:t>
            </w:r>
            <w:r>
              <w:rPr>
                <w:rFonts w:cs="Times New Roman"/>
                <w:szCs w:val="28"/>
              </w:rPr>
              <w:t xml:space="preserve"> 王  珍</w:t>
            </w:r>
            <w:r>
              <w:rPr>
                <w:rFonts w:hint="eastAsia" w:cs="Times New Roman"/>
                <w:szCs w:val="28"/>
              </w:rPr>
              <w:t xml:space="preserve"> </w:t>
            </w:r>
            <w:r>
              <w:rPr>
                <w:rFonts w:cs="Times New Roman"/>
                <w:szCs w:val="28"/>
              </w:rPr>
              <w:t xml:space="preserve"> 郭晓娟  黄锋华</w:t>
            </w:r>
            <w:r>
              <w:rPr>
                <w:rFonts w:hint="eastAsia" w:cs="Times New Roman"/>
                <w:szCs w:val="28"/>
              </w:rPr>
              <w:t xml:space="preserve"> </w:t>
            </w:r>
            <w:r>
              <w:rPr>
                <w:rFonts w:cs="Times New Roman"/>
                <w:szCs w:val="28"/>
              </w:rPr>
              <w:t xml:space="preserve"> 冯小丽</w:t>
            </w: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0" w:firstLineChars="0"/>
              <w:jc w:val="left"/>
              <w:textAlignment w:val="center"/>
              <w:rPr>
                <w:rFonts w:cs="Times New Roman"/>
                <w:szCs w:val="28"/>
              </w:rPr>
            </w:pPr>
          </w:p>
          <w:p>
            <w:pPr>
              <w:ind w:firstLine="140" w:firstLineChars="50"/>
              <w:jc w:val="left"/>
              <w:textAlignment w:val="center"/>
              <w:rPr>
                <w:rFonts w:cs="Times New Roman"/>
                <w:szCs w:val="28"/>
              </w:rPr>
            </w:pPr>
          </w:p>
          <w:p>
            <w:pPr>
              <w:ind w:firstLine="140" w:firstLineChars="50"/>
              <w:jc w:val="left"/>
              <w:textAlignment w:val="center"/>
              <w:rPr>
                <w:rFonts w:cs="Times New Roman"/>
                <w:szCs w:val="28"/>
              </w:rPr>
            </w:pPr>
          </w:p>
          <w:p>
            <w:pPr>
              <w:ind w:firstLine="140" w:firstLineChars="50"/>
              <w:jc w:val="left"/>
              <w:textAlignment w:val="center"/>
              <w:rPr>
                <w:rFonts w:cs="Times New Roman"/>
                <w:szCs w:val="28"/>
              </w:rPr>
            </w:pPr>
          </w:p>
          <w:p>
            <w:pPr>
              <w:ind w:firstLine="140" w:firstLineChars="50"/>
              <w:jc w:val="left"/>
              <w:textAlignment w:val="center"/>
              <w:rPr>
                <w:rFonts w:cs="Times New Roman"/>
                <w:szCs w:val="28"/>
              </w:rPr>
            </w:pPr>
          </w:p>
          <w:p>
            <w:pPr>
              <w:ind w:firstLine="140" w:firstLineChars="50"/>
              <w:jc w:val="left"/>
              <w:textAlignment w:val="center"/>
              <w:rPr>
                <w:rFonts w:cs="Times New Roman"/>
                <w:szCs w:val="28"/>
              </w:rPr>
            </w:pPr>
          </w:p>
          <w:p>
            <w:pPr>
              <w:ind w:firstLine="140" w:firstLineChars="50"/>
              <w:jc w:val="left"/>
              <w:textAlignment w:val="center"/>
              <w:rPr>
                <w:rFonts w:cs="Times New Roman"/>
                <w:szCs w:val="28"/>
              </w:rPr>
            </w:pPr>
          </w:p>
          <w:p>
            <w:pPr>
              <w:ind w:firstLine="140" w:firstLineChars="50"/>
              <w:jc w:val="left"/>
              <w:textAlignment w:val="center"/>
              <w:rPr>
                <w:rFonts w:cs="Times New Roman"/>
                <w:szCs w:val="28"/>
              </w:rPr>
            </w:pPr>
            <w:r>
              <w:rPr>
                <w:rFonts w:cs="Times New Roman"/>
                <w:szCs w:val="28"/>
              </w:rPr>
              <w:t xml:space="preserve"> </w:t>
            </w:r>
          </w:p>
          <w:p>
            <w:pPr>
              <w:ind w:firstLine="560"/>
              <w:jc w:val="left"/>
              <w:textAlignment w:val="center"/>
              <w:rPr>
                <w:rFonts w:cs="Times New Roman"/>
                <w:szCs w:val="28"/>
              </w:rPr>
            </w:pPr>
            <w:r>
              <w:rPr>
                <w:rFonts w:cs="Times New Roman"/>
                <w:szCs w:val="28"/>
              </w:rPr>
              <w:t xml:space="preserve"> </w:t>
            </w:r>
          </w:p>
          <w:p>
            <w:pPr>
              <w:ind w:firstLine="560"/>
              <w:jc w:val="left"/>
              <w:textAlignment w:val="center"/>
              <w:rPr>
                <w:rFonts w:cs="Times New Roman"/>
                <w:szCs w:val="28"/>
              </w:rPr>
            </w:pPr>
            <w:r>
              <w:rPr>
                <w:rFonts w:cs="Times New Roman"/>
                <w:szCs w:val="28"/>
              </w:rPr>
              <w:t xml:space="preserve"> </w:t>
            </w:r>
          </w:p>
          <w:p>
            <w:pPr>
              <w:ind w:firstLine="560"/>
              <w:jc w:val="left"/>
              <w:textAlignment w:val="center"/>
              <w:rPr>
                <w:rFonts w:cs="Times New Roman"/>
                <w:szCs w:val="28"/>
              </w:rPr>
            </w:pPr>
          </w:p>
          <w:p>
            <w:pPr>
              <w:ind w:firstLine="560"/>
              <w:jc w:val="left"/>
              <w:textAlignment w:val="center"/>
              <w:rPr>
                <w:rFonts w:cs="Times New Roman"/>
                <w:szCs w:val="28"/>
              </w:rPr>
            </w:pPr>
          </w:p>
          <w:p>
            <w:pPr>
              <w:ind w:firstLine="560"/>
              <w:jc w:val="left"/>
              <w:textAlignment w:val="center"/>
              <w:rPr>
                <w:rFonts w:cs="Times New Roman"/>
                <w:szCs w:val="28"/>
              </w:rPr>
            </w:pPr>
          </w:p>
          <w:p>
            <w:pPr>
              <w:ind w:firstLine="560"/>
              <w:jc w:val="left"/>
              <w:textAlignment w:val="center"/>
              <w:rPr>
                <w:rFonts w:cs="Times New Roman"/>
                <w:szCs w:val="28"/>
              </w:rPr>
            </w:pPr>
          </w:p>
          <w:p>
            <w:pPr>
              <w:ind w:firstLine="560"/>
              <w:jc w:val="left"/>
              <w:textAlignment w:val="center"/>
              <w:rPr>
                <w:rFonts w:cs="Times New Roman"/>
                <w:szCs w:val="28"/>
              </w:rPr>
            </w:pPr>
          </w:p>
          <w:p>
            <w:pPr>
              <w:ind w:firstLine="560"/>
              <w:jc w:val="left"/>
              <w:textAlignment w:val="center"/>
              <w:rPr>
                <w:rFonts w:cs="Times New Roman"/>
                <w:szCs w:val="28"/>
              </w:rPr>
            </w:pPr>
          </w:p>
          <w:p>
            <w:pPr>
              <w:ind w:firstLine="560"/>
              <w:jc w:val="left"/>
              <w:textAlignment w:val="center"/>
              <w:rPr>
                <w:rFonts w:cs="Times New Roman"/>
                <w:szCs w:val="28"/>
              </w:rPr>
            </w:pPr>
          </w:p>
          <w:p>
            <w:pPr>
              <w:ind w:firstLine="560"/>
              <w:jc w:val="left"/>
              <w:textAlignment w:val="center"/>
              <w:rPr>
                <w:rFonts w:cs="Times New Roman"/>
                <w:szCs w:val="28"/>
              </w:rPr>
            </w:pPr>
          </w:p>
          <w:p>
            <w:pPr>
              <w:ind w:firstLine="560"/>
              <w:jc w:val="left"/>
              <w:textAlignment w:val="center"/>
              <w:rPr>
                <w:rFonts w:cs="Times New Roman"/>
                <w:szCs w:val="28"/>
              </w:rPr>
            </w:pPr>
            <w:r>
              <w:rPr>
                <w:rFonts w:cs="Times New Roman"/>
                <w:szCs w:val="28"/>
              </w:rPr>
              <w:t>川</w:t>
            </w:r>
          </w:p>
        </w:tc>
      </w:tr>
      <w:tr>
        <w:tblPrEx>
          <w:tblCellMar>
            <w:top w:w="0" w:type="dxa"/>
            <w:left w:w="108" w:type="dxa"/>
            <w:bottom w:w="0" w:type="dxa"/>
            <w:right w:w="108" w:type="dxa"/>
          </w:tblCellMar>
        </w:tblPrEx>
        <w:trPr>
          <w:trHeight w:val="567" w:hRule="exact"/>
        </w:trPr>
        <w:tc>
          <w:tcPr>
            <w:tcW w:w="2344" w:type="dxa"/>
            <w:vAlign w:val="center"/>
          </w:tcPr>
          <w:p>
            <w:pPr>
              <w:ind w:firstLine="560"/>
              <w:jc w:val="distribute"/>
              <w:rPr>
                <w:rFonts w:cs="Times New Roman"/>
                <w:szCs w:val="28"/>
              </w:rPr>
            </w:pPr>
          </w:p>
        </w:tc>
        <w:tc>
          <w:tcPr>
            <w:tcW w:w="6161" w:type="dxa"/>
            <w:vMerge w:val="continue"/>
          </w:tcPr>
          <w:p>
            <w:pPr>
              <w:ind w:firstLine="560"/>
              <w:rPr>
                <w:rFonts w:cs="Times New Roman"/>
                <w:szCs w:val="28"/>
              </w:rPr>
            </w:pPr>
          </w:p>
        </w:tc>
      </w:tr>
      <w:tr>
        <w:tblPrEx>
          <w:tblCellMar>
            <w:top w:w="0" w:type="dxa"/>
            <w:left w:w="108" w:type="dxa"/>
            <w:bottom w:w="0" w:type="dxa"/>
            <w:right w:w="108" w:type="dxa"/>
          </w:tblCellMar>
        </w:tblPrEx>
        <w:trPr>
          <w:trHeight w:val="567" w:hRule="exact"/>
        </w:trPr>
        <w:tc>
          <w:tcPr>
            <w:tcW w:w="2344" w:type="dxa"/>
            <w:vAlign w:val="center"/>
          </w:tcPr>
          <w:p>
            <w:pPr>
              <w:ind w:firstLine="560"/>
              <w:jc w:val="distribute"/>
              <w:rPr>
                <w:rFonts w:cs="Times New Roman"/>
                <w:szCs w:val="28"/>
              </w:rPr>
            </w:pPr>
          </w:p>
        </w:tc>
        <w:tc>
          <w:tcPr>
            <w:tcW w:w="6161" w:type="dxa"/>
            <w:vMerge w:val="continue"/>
            <w:vAlign w:val="center"/>
          </w:tcPr>
          <w:p>
            <w:pPr>
              <w:ind w:firstLine="560"/>
              <w:rPr>
                <w:rFonts w:cs="Times New Roman"/>
                <w:bCs/>
                <w:szCs w:val="28"/>
              </w:rPr>
            </w:pPr>
          </w:p>
        </w:tc>
      </w:tr>
      <w:tr>
        <w:tblPrEx>
          <w:tblCellMar>
            <w:top w:w="0" w:type="dxa"/>
            <w:left w:w="108" w:type="dxa"/>
            <w:bottom w:w="0" w:type="dxa"/>
            <w:right w:w="108" w:type="dxa"/>
          </w:tblCellMar>
        </w:tblPrEx>
        <w:trPr>
          <w:trHeight w:val="674" w:hRule="exact"/>
        </w:trPr>
        <w:tc>
          <w:tcPr>
            <w:tcW w:w="2344" w:type="dxa"/>
            <w:vAlign w:val="center"/>
          </w:tcPr>
          <w:p>
            <w:pPr>
              <w:ind w:firstLine="560"/>
              <w:jc w:val="distribute"/>
              <w:rPr>
                <w:rFonts w:cs="Times New Roman"/>
                <w:szCs w:val="28"/>
              </w:rPr>
            </w:pPr>
          </w:p>
        </w:tc>
        <w:tc>
          <w:tcPr>
            <w:tcW w:w="6161" w:type="dxa"/>
            <w:vMerge w:val="continue"/>
            <w:vAlign w:val="center"/>
          </w:tcPr>
          <w:p>
            <w:pPr>
              <w:ind w:firstLine="560"/>
              <w:rPr>
                <w:rFonts w:cs="Times New Roman"/>
                <w:bCs/>
                <w:szCs w:val="28"/>
              </w:rPr>
            </w:pPr>
          </w:p>
        </w:tc>
      </w:tr>
    </w:tbl>
    <w:p>
      <w:pPr>
        <w:tabs>
          <w:tab w:val="left" w:pos="3940"/>
        </w:tabs>
        <w:ind w:firstLine="600"/>
        <w:rPr>
          <w:rFonts w:cs="Times New Roman"/>
          <w:sz w:val="30"/>
          <w:szCs w:val="30"/>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418" w:bottom="1440" w:left="1418" w:header="851" w:footer="992" w:gutter="0"/>
          <w:pgNumType w:fmt="upperRoman" w:start="1"/>
          <w:cols w:space="720" w:num="1"/>
          <w:docGrid w:type="lines" w:linePitch="381" w:charSpace="0"/>
        </w:sectPr>
      </w:pPr>
    </w:p>
    <w:p>
      <w:pPr>
        <w:tabs>
          <w:tab w:val="left" w:pos="3770"/>
          <w:tab w:val="right" w:leader="dot" w:pos="9060"/>
        </w:tabs>
        <w:ind w:firstLine="0" w:firstLineChars="0"/>
        <w:jc w:val="center"/>
        <w:rPr>
          <w:rFonts w:cs="Times New Roman"/>
          <w:b/>
          <w:bCs/>
          <w:sz w:val="32"/>
          <w:szCs w:val="20"/>
        </w:rPr>
      </w:pPr>
      <w:r>
        <w:rPr>
          <w:rFonts w:cs="Times New Roman"/>
          <w:b/>
          <w:bCs/>
          <w:sz w:val="32"/>
          <w:szCs w:val="20"/>
        </w:rPr>
        <w:t>目  录</w:t>
      </w:r>
    </w:p>
    <w:p>
      <w:pPr>
        <w:pStyle w:val="18"/>
        <w:tabs>
          <w:tab w:val="right" w:leader="dot" w:pos="9060"/>
        </w:tabs>
        <w:ind w:firstLine="480"/>
        <w:rPr>
          <w:rFonts w:cs="Times New Roman"/>
          <w:b w:val="0"/>
          <w:color w:val="000000" w:themeColor="text1"/>
          <w:sz w:val="24"/>
          <w:szCs w:val="24"/>
          <w14:textFill>
            <w14:solidFill>
              <w14:schemeClr w14:val="tx1"/>
            </w14:solidFill>
          </w14:textFill>
        </w:rPr>
      </w:pPr>
    </w:p>
    <w:p>
      <w:pPr>
        <w:pStyle w:val="18"/>
        <w:tabs>
          <w:tab w:val="right" w:leader="dot" w:pos="9060"/>
        </w:tabs>
        <w:ind w:firstLine="480"/>
        <w:rPr>
          <w:rFonts w:asciiTheme="minorHAnsi" w:hAnsiTheme="minorHAnsi" w:eastAsiaTheme="minorEastAsia"/>
          <w:b w:val="0"/>
          <w:sz w:val="21"/>
        </w:rPr>
      </w:pPr>
      <w:r>
        <w:rPr>
          <w:rFonts w:cs="Times New Roman"/>
          <w:b w:val="0"/>
          <w:color w:val="000000" w:themeColor="text1"/>
          <w:sz w:val="24"/>
          <w:szCs w:val="24"/>
          <w14:textFill>
            <w14:solidFill>
              <w14:schemeClr w14:val="tx1"/>
            </w14:solidFill>
          </w14:textFill>
        </w:rPr>
        <w:fldChar w:fldCharType="begin"/>
      </w:r>
      <w:r>
        <w:rPr>
          <w:rFonts w:cs="Times New Roman"/>
          <w:b w:val="0"/>
          <w:color w:val="000000" w:themeColor="text1"/>
          <w:sz w:val="24"/>
          <w:szCs w:val="24"/>
          <w14:textFill>
            <w14:solidFill>
              <w14:schemeClr w14:val="tx1"/>
            </w14:solidFill>
          </w14:textFill>
        </w:rPr>
        <w:instrText xml:space="preserve"> TOC \o "1-3" \h \z \u </w:instrText>
      </w:r>
      <w:r>
        <w:rPr>
          <w:rFonts w:cs="Times New Roman"/>
          <w:b w:val="0"/>
          <w:color w:val="000000" w:themeColor="text1"/>
          <w:sz w:val="24"/>
          <w:szCs w:val="24"/>
          <w14:textFill>
            <w14:solidFill>
              <w14:schemeClr w14:val="tx1"/>
            </w14:solidFill>
          </w14:textFill>
        </w:rPr>
        <w:fldChar w:fldCharType="separate"/>
      </w:r>
      <w:r>
        <w:fldChar w:fldCharType="begin"/>
      </w:r>
      <w:r>
        <w:instrText xml:space="preserve"> HYPERLINK \l "_Toc56103670" </w:instrText>
      </w:r>
      <w:r>
        <w:fldChar w:fldCharType="separate"/>
      </w:r>
      <w:r>
        <w:rPr>
          <w:rStyle w:val="33"/>
          <w:rFonts w:cs="Times New Roman"/>
          <w:kern w:val="44"/>
        </w:rPr>
        <w:t>1 概述</w:t>
      </w:r>
      <w:r>
        <w:tab/>
      </w:r>
      <w:r>
        <w:fldChar w:fldCharType="begin"/>
      </w:r>
      <w:r>
        <w:instrText xml:space="preserve"> PAGEREF _Toc56103670 \h </w:instrText>
      </w:r>
      <w:r>
        <w:fldChar w:fldCharType="separate"/>
      </w:r>
      <w:r>
        <w:t>1</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"_Toc56103671" </w:instrText>
      </w:r>
      <w:r>
        <w:fldChar w:fldCharType="separate"/>
      </w:r>
      <w:r>
        <w:rPr>
          <w:rStyle w:val="33"/>
          <w:rFonts w:cs="Times New Roman"/>
          <w:b/>
        </w:rPr>
        <w:t>1.1 项目背景</w:t>
      </w:r>
      <w:r>
        <w:tab/>
      </w:r>
      <w:r>
        <w:fldChar w:fldCharType="begin"/>
      </w:r>
      <w:r>
        <w:instrText xml:space="preserve"> PAGEREF _Toc56103671 \h </w:instrText>
      </w:r>
      <w:r>
        <w:fldChar w:fldCharType="separate"/>
      </w:r>
      <w:r>
        <w:t>1</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"_Toc56103672" </w:instrText>
      </w:r>
      <w:r>
        <w:fldChar w:fldCharType="separate"/>
      </w:r>
      <w:r>
        <w:rPr>
          <w:rStyle w:val="33"/>
          <w:rFonts w:cs="Times New Roman"/>
          <w:b/>
        </w:rPr>
        <w:t>1.2 目标任务与责任主体</w:t>
      </w:r>
      <w:r>
        <w:tab/>
      </w:r>
      <w:r>
        <w:fldChar w:fldCharType="begin"/>
      </w:r>
      <w:r>
        <w:instrText xml:space="preserve"> PAGEREF _Toc56103672 \h </w:instrText>
      </w:r>
      <w:r>
        <w:fldChar w:fldCharType="separate"/>
      </w:r>
      <w:r>
        <w:t>2</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"_Toc56103673" </w:instrText>
      </w:r>
      <w:r>
        <w:fldChar w:fldCharType="separate"/>
      </w:r>
      <w:r>
        <w:rPr>
          <w:rStyle w:val="33"/>
          <w:rFonts w:cs="Times New Roman"/>
          <w:b/>
        </w:rPr>
        <w:t>1.3 总体要求和基本原则</w:t>
      </w:r>
      <w:r>
        <w:tab/>
      </w:r>
      <w:r>
        <w:fldChar w:fldCharType="begin"/>
      </w:r>
      <w:r>
        <w:instrText xml:space="preserve"> PAGEREF _Toc56103673 \h </w:instrText>
      </w:r>
      <w:r>
        <w:fldChar w:fldCharType="separate"/>
      </w:r>
      <w:r>
        <w:t>3</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"_Toc56103674" </w:instrText>
      </w:r>
      <w:r>
        <w:fldChar w:fldCharType="separate"/>
      </w:r>
      <w:r>
        <w:rPr>
          <w:rStyle w:val="33"/>
          <w:rFonts w:cs="Times New Roman"/>
          <w:b/>
        </w:rPr>
        <w:t>1.4 工作内容及技术路线</w:t>
      </w:r>
      <w:r>
        <w:tab/>
      </w:r>
      <w:r>
        <w:fldChar w:fldCharType="begin"/>
      </w:r>
      <w:r>
        <w:instrText xml:space="preserve"> PAGEREF _Toc56103674 \h </w:instrText>
      </w:r>
      <w:r>
        <w:fldChar w:fldCharType="separate"/>
      </w:r>
      <w:r>
        <w:t>5</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"_Toc56103675" </w:instrText>
      </w:r>
      <w:r>
        <w:fldChar w:fldCharType="separate"/>
      </w:r>
      <w:r>
        <w:rPr>
          <w:rStyle w:val="33"/>
          <w:rFonts w:cs="Times New Roman"/>
          <w:b/>
        </w:rPr>
        <w:t>1.5 编制依据</w:t>
      </w:r>
      <w:r>
        <w:tab/>
      </w:r>
      <w:r>
        <w:fldChar w:fldCharType="begin"/>
      </w:r>
      <w:r>
        <w:instrText xml:space="preserve"> PAGEREF _Toc56103675 \h </w:instrText>
      </w:r>
      <w:r>
        <w:fldChar w:fldCharType="separate"/>
      </w:r>
      <w:r>
        <w:t>8</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"_Toc56103676" </w:instrText>
      </w:r>
      <w:r>
        <w:fldChar w:fldCharType="separate"/>
      </w:r>
      <w:r>
        <w:rPr>
          <w:rStyle w:val="33"/>
          <w:rFonts w:cs="Times New Roman"/>
          <w:b/>
          <w:bCs/>
        </w:rPr>
        <w:t>1.5.1 法律、法规</w:t>
      </w:r>
      <w:r>
        <w:tab/>
      </w:r>
      <w:r>
        <w:fldChar w:fldCharType="begin"/>
      </w:r>
      <w:r>
        <w:instrText xml:space="preserve"> PAGEREF _Toc56103676 \h </w:instrText>
      </w:r>
      <w:r>
        <w:fldChar w:fldCharType="separate"/>
      </w:r>
      <w:r>
        <w:t>8</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"_Toc56103677" </w:instrText>
      </w:r>
      <w:r>
        <w:fldChar w:fldCharType="separate"/>
      </w:r>
      <w:r>
        <w:rPr>
          <w:rStyle w:val="33"/>
          <w:rFonts w:cs="Times New Roman"/>
          <w:b/>
          <w:bCs/>
        </w:rPr>
        <w:t>1.5.2 国家及行业标准、规范</w:t>
      </w:r>
      <w:r>
        <w:tab/>
      </w:r>
      <w:r>
        <w:fldChar w:fldCharType="begin"/>
      </w:r>
      <w:r>
        <w:instrText xml:space="preserve"> PAGEREF _Toc56103677 \h </w:instrText>
      </w:r>
      <w:r>
        <w:fldChar w:fldCharType="separate"/>
      </w:r>
      <w:r>
        <w:t>8</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"_Toc56103678" </w:instrText>
      </w:r>
      <w:r>
        <w:fldChar w:fldCharType="separate"/>
      </w:r>
      <w:r>
        <w:rPr>
          <w:rStyle w:val="33"/>
          <w:rFonts w:cs="Times New Roman"/>
          <w:b/>
          <w:bCs/>
        </w:rPr>
        <w:t>1.5.3 技术依据</w:t>
      </w:r>
      <w:r>
        <w:tab/>
      </w:r>
      <w:r>
        <w:fldChar w:fldCharType="begin"/>
      </w:r>
      <w:r>
        <w:instrText xml:space="preserve"> PAGEREF _Toc56103678 \h </w:instrText>
      </w:r>
      <w:r>
        <w:fldChar w:fldCharType="separate"/>
      </w:r>
      <w:r>
        <w:t>8</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"_Toc56103679" </w:instrText>
      </w:r>
      <w:r>
        <w:fldChar w:fldCharType="separate"/>
      </w:r>
      <w:r>
        <w:rPr>
          <w:rStyle w:val="33"/>
          <w:rFonts w:cs="Times New Roman"/>
          <w:b/>
          <w:bCs/>
        </w:rPr>
        <w:t>1.5.4 相关文件</w:t>
      </w:r>
      <w:r>
        <w:tab/>
      </w:r>
      <w:r>
        <w:fldChar w:fldCharType="begin"/>
      </w:r>
      <w:r>
        <w:instrText xml:space="preserve"> PAGEREF _Toc56103679 \h </w:instrText>
      </w:r>
      <w:r>
        <w:fldChar w:fldCharType="separate"/>
      </w:r>
      <w:r>
        <w:t>9</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"_Toc56103680" </w:instrText>
      </w:r>
      <w:r>
        <w:fldChar w:fldCharType="separate"/>
      </w:r>
      <w:r>
        <w:rPr>
          <w:rStyle w:val="33"/>
          <w:rFonts w:cs="Times New Roman"/>
          <w:b/>
          <w:bCs/>
        </w:rPr>
        <w:t>1.5.5 地形资料</w:t>
      </w:r>
      <w:r>
        <w:tab/>
      </w:r>
      <w:r>
        <w:fldChar w:fldCharType="begin"/>
      </w:r>
      <w:r>
        <w:instrText xml:space="preserve"> PAGEREF _Toc56103680 \h </w:instrText>
      </w:r>
      <w:r>
        <w:fldChar w:fldCharType="separate"/>
      </w:r>
      <w:r>
        <w:t>10</w:t>
      </w:r>
      <w:r>
        <w:fldChar w:fldCharType="end"/>
      </w:r>
      <w:r>
        <w:fldChar w:fldCharType="end"/>
      </w:r>
    </w:p>
    <w:p>
      <w:pPr>
        <w:pStyle w:val="18"/>
        <w:tabs>
          <w:tab w:val="right" w:leader="dot" w:pos="9060"/>
        </w:tabs>
        <w:ind w:firstLine="562"/>
        <w:rPr>
          <w:rFonts w:asciiTheme="minorHAnsi" w:hAnsiTheme="minorHAnsi" w:eastAsiaTheme="minorEastAsia"/>
          <w:b w:val="0"/>
          <w:sz w:val="21"/>
        </w:rPr>
      </w:pPr>
      <w:r>
        <w:fldChar w:fldCharType="begin"/>
      </w:r>
      <w:r>
        <w:instrText xml:space="preserve"> HYPERLINK \l "_Toc56103681" </w:instrText>
      </w:r>
      <w:r>
        <w:fldChar w:fldCharType="separate"/>
      </w:r>
      <w:r>
        <w:rPr>
          <w:rStyle w:val="33"/>
          <w:rFonts w:cs="Times New Roman"/>
          <w:kern w:val="44"/>
        </w:rPr>
        <w:t>2 基本情况</w:t>
      </w:r>
      <w:r>
        <w:tab/>
      </w:r>
      <w:r>
        <w:fldChar w:fldCharType="begin"/>
      </w:r>
      <w:r>
        <w:instrText xml:space="preserve"> PAGEREF _Toc56103681 \h </w:instrText>
      </w:r>
      <w:r>
        <w:fldChar w:fldCharType="separate"/>
      </w:r>
      <w:r>
        <w:t>11</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"_Toc56103682" </w:instrText>
      </w:r>
      <w:r>
        <w:fldChar w:fldCharType="separate"/>
      </w:r>
      <w:r>
        <w:rPr>
          <w:rStyle w:val="33"/>
          <w:rFonts w:cs="Times New Roman"/>
          <w:b/>
        </w:rPr>
        <w:t>2.1 河湖概况</w:t>
      </w:r>
      <w:r>
        <w:tab/>
      </w:r>
      <w:r>
        <w:fldChar w:fldCharType="begin"/>
      </w:r>
      <w:r>
        <w:instrText xml:space="preserve"> PAGEREF _Toc56103682 \h </w:instrText>
      </w:r>
      <w:r>
        <w:fldChar w:fldCharType="separate"/>
      </w:r>
      <w:r>
        <w:t>11</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"_Toc56103683" </w:instrText>
      </w:r>
      <w:r>
        <w:fldChar w:fldCharType="separate"/>
      </w:r>
      <w:r>
        <w:rPr>
          <w:rStyle w:val="33"/>
          <w:rFonts w:cs="Times New Roman"/>
          <w:b/>
          <w:bCs/>
        </w:rPr>
        <w:t>2.1.1 社会经济</w:t>
      </w:r>
      <w:r>
        <w:tab/>
      </w:r>
      <w:r>
        <w:fldChar w:fldCharType="begin"/>
      </w:r>
      <w:r>
        <w:instrText xml:space="preserve"> PAGEREF _Toc56103683 \h </w:instrText>
      </w:r>
      <w:r>
        <w:fldChar w:fldCharType="separate"/>
      </w:r>
      <w:r>
        <w:t>11</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"_Toc56103684" </w:instrText>
      </w:r>
      <w:r>
        <w:fldChar w:fldCharType="separate"/>
      </w:r>
      <w:r>
        <w:rPr>
          <w:rStyle w:val="33"/>
          <w:rFonts w:cs="Times New Roman"/>
          <w:b/>
          <w:bCs/>
        </w:rPr>
        <w:t>2.1.2 河流水系</w:t>
      </w:r>
      <w:r>
        <w:tab/>
      </w:r>
      <w:r>
        <w:fldChar w:fldCharType="begin"/>
      </w:r>
      <w:r>
        <w:instrText xml:space="preserve"> PAGEREF _Toc56103684 \h </w:instrText>
      </w:r>
      <w:r>
        <w:fldChar w:fldCharType="separate"/>
      </w:r>
      <w:r>
        <w:t>11</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"_Toc56103685" </w:instrText>
      </w:r>
      <w:r>
        <w:fldChar w:fldCharType="separate"/>
      </w:r>
      <w:r>
        <w:rPr>
          <w:rStyle w:val="33"/>
          <w:rFonts w:cs="Times New Roman"/>
          <w:b/>
          <w:bCs/>
        </w:rPr>
        <w:t>2.1.3 水文气象</w:t>
      </w:r>
      <w:r>
        <w:tab/>
      </w:r>
      <w:r>
        <w:fldChar w:fldCharType="begin"/>
      </w:r>
      <w:r>
        <w:instrText xml:space="preserve"> PAGEREF _Toc56103685 \h </w:instrText>
      </w:r>
      <w:r>
        <w:fldChar w:fldCharType="separate"/>
      </w:r>
      <w:r>
        <w:t>12</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"_Toc56103686" </w:instrText>
      </w:r>
      <w:r>
        <w:fldChar w:fldCharType="separate"/>
      </w:r>
      <w:r>
        <w:rPr>
          <w:rStyle w:val="33"/>
          <w:rFonts w:cs="Times New Roman"/>
          <w:b/>
          <w:bCs/>
        </w:rPr>
        <w:t>2.1.4 径流</w:t>
      </w:r>
      <w:r>
        <w:tab/>
      </w:r>
      <w:r>
        <w:fldChar w:fldCharType="begin"/>
      </w:r>
      <w:r>
        <w:instrText xml:space="preserve"> PAGEREF _Toc56103686 \h </w:instrText>
      </w:r>
      <w:r>
        <w:fldChar w:fldCharType="separate"/>
      </w:r>
      <w:r>
        <w:t>14</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"_Toc56103687" </w:instrText>
      </w:r>
      <w:r>
        <w:fldChar w:fldCharType="separate"/>
      </w:r>
      <w:r>
        <w:rPr>
          <w:rStyle w:val="33"/>
          <w:rFonts w:cs="Times New Roman"/>
          <w:b/>
          <w:bCs/>
        </w:rPr>
        <w:t>2.1.4 地形地貌</w:t>
      </w:r>
      <w:r>
        <w:tab/>
      </w:r>
      <w:r>
        <w:fldChar w:fldCharType="begin"/>
      </w:r>
      <w:r>
        <w:instrText xml:space="preserve"> PAGEREF _Toc56103687 \h </w:instrText>
      </w:r>
      <w:r>
        <w:fldChar w:fldCharType="separate"/>
      </w:r>
      <w:r>
        <w:t>14</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"_Toc56103688" </w:instrText>
      </w:r>
      <w:r>
        <w:fldChar w:fldCharType="separate"/>
      </w:r>
      <w:r>
        <w:rPr>
          <w:rStyle w:val="33"/>
          <w:rFonts w:cs="Times New Roman"/>
          <w:b/>
          <w:bCs/>
        </w:rPr>
        <w:t>2.1.6 气候及水文地质条件</w:t>
      </w:r>
      <w:r>
        <w:tab/>
      </w:r>
      <w:r>
        <w:fldChar w:fldCharType="begin"/>
      </w:r>
      <w:r>
        <w:instrText xml:space="preserve"> PAGEREF _Toc56103688 \h </w:instrText>
      </w:r>
      <w:r>
        <w:fldChar w:fldCharType="separate"/>
      </w:r>
      <w:r>
        <w:t>15</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"_Toc56103689" </w:instrText>
      </w:r>
      <w:r>
        <w:fldChar w:fldCharType="separate"/>
      </w:r>
      <w:r>
        <w:rPr>
          <w:rStyle w:val="33"/>
          <w:rFonts w:cs="Times New Roman"/>
          <w:b/>
          <w:bCs/>
        </w:rPr>
        <w:t>2.1.7 防洪标准</w:t>
      </w:r>
      <w:r>
        <w:tab/>
      </w:r>
      <w:r>
        <w:fldChar w:fldCharType="begin"/>
      </w:r>
      <w:r>
        <w:instrText xml:space="preserve"> PAGEREF _Toc56103689 \h </w:instrText>
      </w:r>
      <w:r>
        <w:fldChar w:fldCharType="separate"/>
      </w:r>
      <w:r>
        <w:t>15</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"_Toc56103690" </w:instrText>
      </w:r>
      <w:r>
        <w:fldChar w:fldCharType="separate"/>
      </w:r>
      <w:r>
        <w:rPr>
          <w:rStyle w:val="33"/>
          <w:rFonts w:cs="Times New Roman"/>
          <w:b/>
        </w:rPr>
        <w:t>2.2 护岸工程</w:t>
      </w:r>
      <w:r>
        <w:tab/>
      </w:r>
      <w:r>
        <w:fldChar w:fldCharType="begin"/>
      </w:r>
      <w:r>
        <w:instrText xml:space="preserve"> PAGEREF _Toc56103690 \h </w:instrText>
      </w:r>
      <w:r>
        <w:fldChar w:fldCharType="separate"/>
      </w:r>
      <w:r>
        <w:t>16</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"_Toc56103691" </w:instrText>
      </w:r>
      <w:r>
        <w:fldChar w:fldCharType="separate"/>
      </w:r>
      <w:r>
        <w:rPr>
          <w:rStyle w:val="33"/>
          <w:rFonts w:cs="Times New Roman"/>
          <w:b/>
        </w:rPr>
        <w:t>2.3 相关规划成果</w:t>
      </w:r>
      <w:r>
        <w:tab/>
      </w:r>
      <w:r>
        <w:fldChar w:fldCharType="begin"/>
      </w:r>
      <w:r>
        <w:instrText xml:space="preserve"> PAGEREF _Toc56103691 \h </w:instrText>
      </w:r>
      <w:r>
        <w:fldChar w:fldCharType="separate"/>
      </w:r>
      <w:r>
        <w:t>16</w:t>
      </w:r>
      <w:r>
        <w:fldChar w:fldCharType="end"/>
      </w:r>
      <w:r>
        <w:fldChar w:fldCharType="end"/>
      </w:r>
    </w:p>
    <w:p>
      <w:pPr>
        <w:pStyle w:val="18"/>
        <w:tabs>
          <w:tab w:val="right" w:leader="dot" w:pos="9060"/>
        </w:tabs>
        <w:ind w:firstLine="562"/>
        <w:rPr>
          <w:rFonts w:asciiTheme="minorHAnsi" w:hAnsiTheme="minorHAnsi" w:eastAsiaTheme="minorEastAsia"/>
          <w:b w:val="0"/>
          <w:sz w:val="21"/>
        </w:rPr>
      </w:pPr>
      <w:r>
        <w:fldChar w:fldCharType="begin"/>
      </w:r>
      <w:r>
        <w:instrText xml:space="preserve"> HYPERLINK \l "_Toc56103692" </w:instrText>
      </w:r>
      <w:r>
        <w:fldChar w:fldCharType="separate"/>
      </w:r>
      <w:r>
        <w:rPr>
          <w:rStyle w:val="33"/>
          <w:rFonts w:cs="Times New Roman"/>
          <w:kern w:val="44"/>
        </w:rPr>
        <w:t>3 设计洪水</w:t>
      </w:r>
      <w:r>
        <w:tab/>
      </w:r>
      <w:r>
        <w:fldChar w:fldCharType="begin"/>
      </w:r>
      <w:r>
        <w:instrText xml:space="preserve"> PAGEREF _Toc56103692 \h </w:instrText>
      </w:r>
      <w:r>
        <w:fldChar w:fldCharType="separate"/>
      </w:r>
      <w:r>
        <w:t>17</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"_Toc56103693" </w:instrText>
      </w:r>
      <w:r>
        <w:fldChar w:fldCharType="separate"/>
      </w:r>
      <w:r>
        <w:rPr>
          <w:rStyle w:val="33"/>
          <w:rFonts w:cs="Times New Roman"/>
          <w:b/>
        </w:rPr>
        <w:t>3.1暴雨洪水特性</w:t>
      </w:r>
      <w:r>
        <w:tab/>
      </w:r>
      <w:r>
        <w:fldChar w:fldCharType="begin"/>
      </w:r>
      <w:r>
        <w:instrText xml:space="preserve"> PAGEREF _Toc56103693 \h </w:instrText>
      </w:r>
      <w:r>
        <w:fldChar w:fldCharType="separate"/>
      </w:r>
      <w:r>
        <w:t>17</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"_Toc56103694" </w:instrText>
      </w:r>
      <w:r>
        <w:fldChar w:fldCharType="separate"/>
      </w:r>
      <w:r>
        <w:rPr>
          <w:rStyle w:val="33"/>
          <w:rFonts w:cs="Times New Roman"/>
          <w:b/>
        </w:rPr>
        <w:t>3.2设计洪水</w:t>
      </w:r>
      <w:r>
        <w:tab/>
      </w:r>
      <w:r>
        <w:fldChar w:fldCharType="begin"/>
      </w:r>
      <w:r>
        <w:instrText xml:space="preserve"> PAGEREF _Toc56103694 \h </w:instrText>
      </w:r>
      <w:r>
        <w:fldChar w:fldCharType="separate"/>
      </w:r>
      <w:r>
        <w:t>17</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"_Toc56103695" </w:instrText>
      </w:r>
      <w:r>
        <w:fldChar w:fldCharType="separate"/>
      </w:r>
      <w:r>
        <w:rPr>
          <w:rStyle w:val="33"/>
          <w:rFonts w:cs="Times New Roman"/>
          <w:b/>
        </w:rPr>
        <w:t>3.3合理性检查</w:t>
      </w:r>
      <w:r>
        <w:tab/>
      </w:r>
      <w:r>
        <w:fldChar w:fldCharType="begin"/>
      </w:r>
      <w:r>
        <w:instrText xml:space="preserve"> PAGEREF _Toc56103695 \h </w:instrText>
      </w:r>
      <w:r>
        <w:fldChar w:fldCharType="separate"/>
      </w:r>
      <w:r>
        <w:t>19</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"_Toc56103696" </w:instrText>
      </w:r>
      <w:r>
        <w:fldChar w:fldCharType="separate"/>
      </w:r>
      <w:r>
        <w:rPr>
          <w:rStyle w:val="33"/>
          <w:rFonts w:cs="Times New Roman"/>
          <w:b/>
        </w:rPr>
        <w:t>3.4 水面线计算</w:t>
      </w:r>
      <w:r>
        <w:tab/>
      </w:r>
      <w:r>
        <w:fldChar w:fldCharType="begin"/>
      </w:r>
      <w:r>
        <w:instrText xml:space="preserve"> PAGEREF _Toc56103696 \h </w:instrText>
      </w:r>
      <w:r>
        <w:fldChar w:fldCharType="separate"/>
      </w:r>
      <w:r>
        <w:t>20</w:t>
      </w:r>
      <w:r>
        <w:fldChar w:fldCharType="end"/>
      </w:r>
      <w:r>
        <w:fldChar w:fldCharType="end"/>
      </w:r>
    </w:p>
    <w:p>
      <w:pPr>
        <w:pStyle w:val="18"/>
        <w:tabs>
          <w:tab w:val="right" w:leader="dot" w:pos="9060"/>
        </w:tabs>
        <w:ind w:firstLine="562"/>
        <w:rPr>
          <w:rFonts w:asciiTheme="minorHAnsi" w:hAnsiTheme="minorHAnsi" w:eastAsiaTheme="minorEastAsia"/>
          <w:b w:val="0"/>
          <w:sz w:val="21"/>
        </w:rPr>
      </w:pPr>
      <w:r>
        <w:fldChar w:fldCharType="begin"/>
      </w:r>
      <w:r>
        <w:instrText xml:space="preserve"> HYPERLINK \l "_Toc56103697" </w:instrText>
      </w:r>
      <w:r>
        <w:fldChar w:fldCharType="separate"/>
      </w:r>
      <w:r>
        <w:rPr>
          <w:rStyle w:val="33"/>
          <w:rFonts w:cs="Times New Roman"/>
          <w:kern w:val="44"/>
        </w:rPr>
        <w:t>4 现状和主要问题</w:t>
      </w:r>
      <w:r>
        <w:tab/>
      </w:r>
      <w:r>
        <w:fldChar w:fldCharType="begin"/>
      </w:r>
      <w:r>
        <w:instrText xml:space="preserve"> PAGEREF _Toc56103697 \h </w:instrText>
      </w:r>
      <w:r>
        <w:fldChar w:fldCharType="separate"/>
      </w:r>
      <w:r>
        <w:t>25</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"_Toc56103698" </w:instrText>
      </w:r>
      <w:r>
        <w:fldChar w:fldCharType="separate"/>
      </w:r>
      <w:r>
        <w:rPr>
          <w:rStyle w:val="33"/>
          <w:rFonts w:cs="Times New Roman"/>
          <w:b/>
        </w:rPr>
        <w:t>4.1 划界现状</w:t>
      </w:r>
      <w:r>
        <w:tab/>
      </w:r>
      <w:r>
        <w:fldChar w:fldCharType="begin"/>
      </w:r>
      <w:r>
        <w:instrText xml:space="preserve"> PAGEREF _Toc56103698 \h </w:instrText>
      </w:r>
      <w:r>
        <w:fldChar w:fldCharType="separate"/>
      </w:r>
      <w:r>
        <w:t>25</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"_Toc56103699" </w:instrText>
      </w:r>
      <w:r>
        <w:fldChar w:fldCharType="separate"/>
      </w:r>
      <w:r>
        <w:rPr>
          <w:rStyle w:val="33"/>
          <w:rFonts w:cs="Times New Roman"/>
          <w:b/>
        </w:rPr>
        <w:t>4.2 主要存在问题</w:t>
      </w:r>
      <w:r>
        <w:tab/>
      </w:r>
      <w:r>
        <w:fldChar w:fldCharType="begin"/>
      </w:r>
      <w:r>
        <w:instrText xml:space="preserve"> PAGEREF _Toc56103699 \h </w:instrText>
      </w:r>
      <w:r>
        <w:fldChar w:fldCharType="separate"/>
      </w:r>
      <w:r>
        <w:t>25</w:t>
      </w:r>
      <w:r>
        <w:fldChar w:fldCharType="end"/>
      </w:r>
      <w:r>
        <w:fldChar w:fldCharType="end"/>
      </w:r>
    </w:p>
    <w:p>
      <w:pPr>
        <w:pStyle w:val="18"/>
        <w:tabs>
          <w:tab w:val="right" w:leader="dot" w:pos="9060"/>
        </w:tabs>
        <w:ind w:firstLine="562"/>
        <w:rPr>
          <w:rFonts w:asciiTheme="minorHAnsi" w:hAnsiTheme="minorHAnsi" w:eastAsiaTheme="minorEastAsia"/>
          <w:b w:val="0"/>
          <w:sz w:val="21"/>
        </w:rPr>
      </w:pPr>
      <w:r>
        <w:fldChar w:fldCharType="begin"/>
      </w:r>
      <w:r>
        <w:instrText xml:space="preserve"> HYPERLINK \l "_Toc56103700" </w:instrText>
      </w:r>
      <w:r>
        <w:fldChar w:fldCharType="separate"/>
      </w:r>
      <w:r>
        <w:rPr>
          <w:rStyle w:val="33"/>
          <w:rFonts w:cs="Times New Roman"/>
          <w:kern w:val="44"/>
        </w:rPr>
        <w:t>5 河道管理范围划定</w:t>
      </w:r>
      <w:r>
        <w:tab/>
      </w:r>
      <w:r>
        <w:fldChar w:fldCharType="begin"/>
      </w:r>
      <w:r>
        <w:instrText xml:space="preserve"> PAGEREF _Toc56103700 \h </w:instrText>
      </w:r>
      <w:r>
        <w:fldChar w:fldCharType="separate"/>
      </w:r>
      <w:r>
        <w:t>27</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"_Toc56103701" </w:instrText>
      </w:r>
      <w:r>
        <w:fldChar w:fldCharType="separate"/>
      </w:r>
      <w:r>
        <w:rPr>
          <w:rStyle w:val="33"/>
          <w:rFonts w:cs="Times New Roman"/>
          <w:b/>
        </w:rPr>
        <w:t>5.1 河道管理范围线的定义</w:t>
      </w:r>
      <w:r>
        <w:tab/>
      </w:r>
      <w:r>
        <w:fldChar w:fldCharType="begin"/>
      </w:r>
      <w:r>
        <w:instrText xml:space="preserve"> PAGEREF _Toc56103701 \h </w:instrText>
      </w:r>
      <w:r>
        <w:fldChar w:fldCharType="separate"/>
      </w:r>
      <w:r>
        <w:t>27</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"_Toc56103702" </w:instrText>
      </w:r>
      <w:r>
        <w:fldChar w:fldCharType="separate"/>
      </w:r>
      <w:r>
        <w:rPr>
          <w:rStyle w:val="33"/>
          <w:rFonts w:cs="Times New Roman"/>
          <w:b/>
        </w:rPr>
        <w:t>5.2 河道管理范围线的确定</w:t>
      </w:r>
      <w:r>
        <w:tab/>
      </w:r>
      <w:r>
        <w:fldChar w:fldCharType="begin"/>
      </w:r>
      <w:r>
        <w:instrText xml:space="preserve"> PAGEREF _Toc56103702 \h </w:instrText>
      </w:r>
      <w:r>
        <w:fldChar w:fldCharType="separate"/>
      </w:r>
      <w:r>
        <w:t>27</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"_Toc56103703" </w:instrText>
      </w:r>
      <w:r>
        <w:fldChar w:fldCharType="separate"/>
      </w:r>
      <w:r>
        <w:rPr>
          <w:rStyle w:val="33"/>
          <w:rFonts w:cs="Times New Roman"/>
          <w:b/>
        </w:rPr>
        <w:t>5.3 划定工作流程</w:t>
      </w:r>
      <w:r>
        <w:tab/>
      </w:r>
      <w:r>
        <w:fldChar w:fldCharType="begin"/>
      </w:r>
      <w:r>
        <w:instrText xml:space="preserve"> PAGEREF _Toc56103703 \h </w:instrText>
      </w:r>
      <w:r>
        <w:fldChar w:fldCharType="separate"/>
      </w:r>
      <w:r>
        <w:t>32</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"_Toc56103704" </w:instrText>
      </w:r>
      <w:r>
        <w:fldChar w:fldCharType="separate"/>
      </w:r>
      <w:r>
        <w:rPr>
          <w:rStyle w:val="33"/>
          <w:rFonts w:cs="Times New Roman"/>
          <w:b/>
          <w:bCs/>
        </w:rPr>
        <w:t>5.3.1 现状调查</w:t>
      </w:r>
      <w:r>
        <w:tab/>
      </w:r>
      <w:r>
        <w:fldChar w:fldCharType="begin"/>
      </w:r>
      <w:r>
        <w:instrText xml:space="preserve"> PAGEREF _Toc56103704 \h </w:instrText>
      </w:r>
      <w:r>
        <w:fldChar w:fldCharType="separate"/>
      </w:r>
      <w:r>
        <w:t>32</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"_Toc56103705" </w:instrText>
      </w:r>
      <w:r>
        <w:fldChar w:fldCharType="separate"/>
      </w:r>
      <w:r>
        <w:rPr>
          <w:rStyle w:val="33"/>
          <w:rFonts w:cs="Times New Roman"/>
          <w:b/>
          <w:bCs/>
        </w:rPr>
        <w:t>5.3.2 实施方案编制</w:t>
      </w:r>
      <w:r>
        <w:tab/>
      </w:r>
      <w:r>
        <w:fldChar w:fldCharType="begin"/>
      </w:r>
      <w:r>
        <w:instrText xml:space="preserve"> PAGEREF _Toc56103705 \h </w:instrText>
      </w:r>
      <w:r>
        <w:fldChar w:fldCharType="separate"/>
      </w:r>
      <w:r>
        <w:t>33</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"_Toc56103706" </w:instrText>
      </w:r>
      <w:r>
        <w:fldChar w:fldCharType="separate"/>
      </w:r>
      <w:r>
        <w:rPr>
          <w:rStyle w:val="33"/>
          <w:rFonts w:cs="Times New Roman"/>
          <w:b/>
          <w:bCs/>
        </w:rPr>
        <w:t>5.3.3 方案审查及批复</w:t>
      </w:r>
      <w:r>
        <w:tab/>
      </w:r>
      <w:r>
        <w:fldChar w:fldCharType="begin"/>
      </w:r>
      <w:r>
        <w:instrText xml:space="preserve"> PAGEREF _Toc56103706 \h </w:instrText>
      </w:r>
      <w:r>
        <w:fldChar w:fldCharType="separate"/>
      </w:r>
      <w:r>
        <w:t>33</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"_Toc56103707" </w:instrText>
      </w:r>
      <w:r>
        <w:fldChar w:fldCharType="separate"/>
      </w:r>
      <w:r>
        <w:rPr>
          <w:rStyle w:val="33"/>
          <w:rFonts w:cs="Times New Roman"/>
          <w:b/>
          <w:bCs/>
        </w:rPr>
        <w:t>5.3.4 组织实施</w:t>
      </w:r>
      <w:r>
        <w:tab/>
      </w:r>
      <w:r>
        <w:fldChar w:fldCharType="begin"/>
      </w:r>
      <w:r>
        <w:instrText xml:space="preserve"> PAGEREF _Toc56103707 \h </w:instrText>
      </w:r>
      <w:r>
        <w:fldChar w:fldCharType="separate"/>
      </w:r>
      <w:r>
        <w:t>33</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"_Toc56103708" </w:instrText>
      </w:r>
      <w:r>
        <w:fldChar w:fldCharType="separate"/>
      </w:r>
      <w:r>
        <w:rPr>
          <w:rStyle w:val="33"/>
          <w:rFonts w:cs="Times New Roman"/>
          <w:b/>
          <w:bCs/>
        </w:rPr>
        <w:t>5.3.5 成果验收</w:t>
      </w:r>
      <w:r>
        <w:tab/>
      </w:r>
      <w:r>
        <w:fldChar w:fldCharType="begin"/>
      </w:r>
      <w:r>
        <w:instrText xml:space="preserve"> PAGEREF _Toc56103708 \h </w:instrText>
      </w:r>
      <w:r>
        <w:fldChar w:fldCharType="separate"/>
      </w:r>
      <w:r>
        <w:t>34</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"_Toc56103709" </w:instrText>
      </w:r>
      <w:r>
        <w:fldChar w:fldCharType="separate"/>
      </w:r>
      <w:r>
        <w:rPr>
          <w:rStyle w:val="33"/>
          <w:rFonts w:cs="Times New Roman"/>
          <w:b/>
        </w:rPr>
        <w:t>5.4 划定成果要求</w:t>
      </w:r>
      <w:r>
        <w:tab/>
      </w:r>
      <w:r>
        <w:fldChar w:fldCharType="begin"/>
      </w:r>
      <w:r>
        <w:instrText xml:space="preserve"> PAGEREF _Toc56103709 \h </w:instrText>
      </w:r>
      <w:r>
        <w:fldChar w:fldCharType="separate"/>
      </w:r>
      <w:r>
        <w:t>34</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"_Toc56103710" </w:instrText>
      </w:r>
      <w:r>
        <w:fldChar w:fldCharType="separate"/>
      </w:r>
      <w:r>
        <w:rPr>
          <w:rStyle w:val="33"/>
          <w:rFonts w:cs="Times New Roman"/>
          <w:b/>
        </w:rPr>
        <w:t>5.5 划定方案</w:t>
      </w:r>
      <w:r>
        <w:tab/>
      </w:r>
      <w:r>
        <w:fldChar w:fldCharType="begin"/>
      </w:r>
      <w:r>
        <w:instrText xml:space="preserve"> PAGEREF _Toc56103710 \h </w:instrText>
      </w:r>
      <w:r>
        <w:fldChar w:fldCharType="separate"/>
      </w:r>
      <w:r>
        <w:t>35</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"_Toc56103711" </w:instrText>
      </w:r>
      <w:r>
        <w:fldChar w:fldCharType="separate"/>
      </w:r>
      <w:r>
        <w:rPr>
          <w:rStyle w:val="33"/>
          <w:rFonts w:cs="Times New Roman"/>
          <w:b/>
          <w:bCs/>
        </w:rPr>
        <w:t>5.5.1 现状调查</w:t>
      </w:r>
      <w:r>
        <w:tab/>
      </w:r>
      <w:r>
        <w:fldChar w:fldCharType="begin"/>
      </w:r>
      <w:r>
        <w:instrText xml:space="preserve"> PAGEREF _Toc56103711 \h </w:instrText>
      </w:r>
      <w:r>
        <w:fldChar w:fldCharType="separate"/>
      </w:r>
      <w:r>
        <w:t>35</w:t>
      </w:r>
      <w:r>
        <w:fldChar w:fldCharType="end"/>
      </w:r>
      <w:r>
        <w:fldChar w:fldCharType="end"/>
      </w:r>
    </w:p>
    <w:p>
      <w:pPr>
        <w:pStyle w:val="12"/>
        <w:tabs>
          <w:tab w:val="right" w:leader="dot" w:pos="9060"/>
        </w:tabs>
        <w:ind w:left="1120" w:firstLine="560"/>
        <w:rPr>
          <w:rFonts w:asciiTheme="minorHAnsi" w:hAnsiTheme="minorHAnsi" w:eastAsiaTheme="minorEastAsia"/>
          <w:sz w:val="21"/>
        </w:rPr>
      </w:pPr>
      <w:r>
        <w:fldChar w:fldCharType="begin"/>
      </w:r>
      <w:r>
        <w:instrText xml:space="preserve"> HYPERLINK \l "_Toc56103712" </w:instrText>
      </w:r>
      <w:r>
        <w:fldChar w:fldCharType="separate"/>
      </w:r>
      <w:r>
        <w:rPr>
          <w:rStyle w:val="33"/>
          <w:rFonts w:cs="Times New Roman"/>
          <w:b/>
          <w:bCs/>
        </w:rPr>
        <w:t>5.5.2 划界方案</w:t>
      </w:r>
      <w:r>
        <w:tab/>
      </w:r>
      <w:r>
        <w:fldChar w:fldCharType="begin"/>
      </w:r>
      <w:r>
        <w:instrText xml:space="preserve"> PAGEREF _Toc56103712 \h </w:instrText>
      </w:r>
      <w:r>
        <w:fldChar w:fldCharType="separate"/>
      </w:r>
      <w:r>
        <w:t>37</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"_Toc56103713" </w:instrText>
      </w:r>
      <w:r>
        <w:fldChar w:fldCharType="separate"/>
      </w:r>
      <w:r>
        <w:rPr>
          <w:rStyle w:val="33"/>
          <w:rFonts w:cs="Times New Roman"/>
          <w:b/>
        </w:rPr>
        <w:t>5.6 划定成果</w:t>
      </w:r>
      <w:r>
        <w:tab/>
      </w:r>
      <w:r>
        <w:fldChar w:fldCharType="begin"/>
      </w:r>
      <w:r>
        <w:instrText xml:space="preserve"> PAGEREF _Toc56103713 \h </w:instrText>
      </w:r>
      <w:r>
        <w:fldChar w:fldCharType="separate"/>
      </w:r>
      <w:r>
        <w:t>38</w:t>
      </w:r>
      <w:r>
        <w:fldChar w:fldCharType="end"/>
      </w:r>
      <w:r>
        <w:fldChar w:fldCharType="end"/>
      </w:r>
    </w:p>
    <w:p>
      <w:pPr>
        <w:pStyle w:val="18"/>
        <w:tabs>
          <w:tab w:val="right" w:leader="dot" w:pos="9060"/>
        </w:tabs>
        <w:ind w:firstLine="562"/>
        <w:rPr>
          <w:rFonts w:asciiTheme="minorHAnsi" w:hAnsiTheme="minorHAnsi" w:eastAsiaTheme="minorEastAsia"/>
          <w:b w:val="0"/>
          <w:sz w:val="21"/>
        </w:rPr>
      </w:pPr>
      <w:r>
        <w:fldChar w:fldCharType="begin"/>
      </w:r>
      <w:r>
        <w:instrText xml:space="preserve"> HYPERLINK \l "_Toc56103714" </w:instrText>
      </w:r>
      <w:r>
        <w:fldChar w:fldCharType="separate"/>
      </w:r>
      <w:r>
        <w:rPr>
          <w:rStyle w:val="33"/>
          <w:rFonts w:cs="Times New Roman"/>
          <w:kern w:val="44"/>
        </w:rPr>
        <w:t>6 保障措施</w:t>
      </w:r>
      <w:r>
        <w:tab/>
      </w:r>
      <w:r>
        <w:fldChar w:fldCharType="begin"/>
      </w:r>
      <w:r>
        <w:instrText xml:space="preserve"> PAGEREF _Toc56103714 \h </w:instrText>
      </w:r>
      <w:r>
        <w:fldChar w:fldCharType="separate"/>
      </w:r>
      <w:r>
        <w:t>39</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"_Toc56103715" </w:instrText>
      </w:r>
      <w:r>
        <w:fldChar w:fldCharType="separate"/>
      </w:r>
      <w:r>
        <w:rPr>
          <w:rStyle w:val="33"/>
          <w:rFonts w:cs="Times New Roman"/>
          <w:b/>
        </w:rPr>
        <w:t>6.1 加强组织领导</w:t>
      </w:r>
      <w:r>
        <w:tab/>
      </w:r>
      <w:r>
        <w:fldChar w:fldCharType="begin"/>
      </w:r>
      <w:r>
        <w:instrText xml:space="preserve"> PAGEREF _Toc56103715 \h </w:instrText>
      </w:r>
      <w:r>
        <w:fldChar w:fldCharType="separate"/>
      </w:r>
      <w:r>
        <w:t>39</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"_Toc56103716" </w:instrText>
      </w:r>
      <w:r>
        <w:fldChar w:fldCharType="separate"/>
      </w:r>
      <w:r>
        <w:rPr>
          <w:rStyle w:val="33"/>
          <w:rFonts w:cs="Times New Roman"/>
          <w:b/>
        </w:rPr>
        <w:t>6.2 健全工作机制</w:t>
      </w:r>
      <w:r>
        <w:tab/>
      </w:r>
      <w:r>
        <w:fldChar w:fldCharType="begin"/>
      </w:r>
      <w:r>
        <w:instrText xml:space="preserve"> PAGEREF _Toc56103716 \h </w:instrText>
      </w:r>
      <w:r>
        <w:fldChar w:fldCharType="separate"/>
      </w:r>
      <w:r>
        <w:t>39</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"_Toc56103717" </w:instrText>
      </w:r>
      <w:r>
        <w:fldChar w:fldCharType="separate"/>
      </w:r>
      <w:r>
        <w:rPr>
          <w:rStyle w:val="33"/>
          <w:rFonts w:cs="Times New Roman"/>
          <w:b/>
        </w:rPr>
        <w:t>6.3 资金投入保障</w:t>
      </w:r>
      <w:r>
        <w:tab/>
      </w:r>
      <w:r>
        <w:fldChar w:fldCharType="begin"/>
      </w:r>
      <w:r>
        <w:instrText xml:space="preserve"> PAGEREF _Toc56103717 \h </w:instrText>
      </w:r>
      <w:r>
        <w:fldChar w:fldCharType="separate"/>
      </w:r>
      <w:r>
        <w:t>39</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"_Toc56103718" </w:instrText>
      </w:r>
      <w:r>
        <w:fldChar w:fldCharType="separate"/>
      </w:r>
      <w:r>
        <w:rPr>
          <w:rStyle w:val="33"/>
          <w:rFonts w:cs="Times New Roman"/>
          <w:b/>
        </w:rPr>
        <w:t>6.4 法规制度保障</w:t>
      </w:r>
      <w:r>
        <w:tab/>
      </w:r>
      <w:r>
        <w:fldChar w:fldCharType="begin"/>
      </w:r>
      <w:r>
        <w:instrText xml:space="preserve"> PAGEREF _Toc56103718 \h </w:instrText>
      </w:r>
      <w:r>
        <w:fldChar w:fldCharType="separate"/>
      </w:r>
      <w:r>
        <w:t>40</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"_Toc56103719" </w:instrText>
      </w:r>
      <w:r>
        <w:fldChar w:fldCharType="separate"/>
      </w:r>
      <w:r>
        <w:rPr>
          <w:rStyle w:val="33"/>
          <w:rFonts w:cs="Times New Roman"/>
          <w:b/>
        </w:rPr>
        <w:t>6.5 加强与国土空间规划的衔接</w:t>
      </w:r>
      <w:r>
        <w:tab/>
      </w:r>
      <w:r>
        <w:fldChar w:fldCharType="begin"/>
      </w:r>
      <w:r>
        <w:instrText xml:space="preserve"> PAGEREF _Toc56103719 \h </w:instrText>
      </w:r>
      <w:r>
        <w:fldChar w:fldCharType="separate"/>
      </w:r>
      <w:r>
        <w:t>40</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"_Toc56103720" </w:instrText>
      </w:r>
      <w:r>
        <w:fldChar w:fldCharType="separate"/>
      </w:r>
      <w:r>
        <w:rPr>
          <w:rStyle w:val="33"/>
          <w:rFonts w:cs="Times New Roman"/>
          <w:b/>
        </w:rPr>
        <w:t>6.6 加强公众参与</w:t>
      </w:r>
      <w:r>
        <w:tab/>
      </w:r>
      <w:r>
        <w:fldChar w:fldCharType="begin"/>
      </w:r>
      <w:r>
        <w:instrText xml:space="preserve"> PAGEREF _Toc56103720 \h </w:instrText>
      </w:r>
      <w:r>
        <w:fldChar w:fldCharType="separate"/>
      </w:r>
      <w:r>
        <w:t>41</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"_Toc56103721" </w:instrText>
      </w:r>
      <w:r>
        <w:fldChar w:fldCharType="separate"/>
      </w:r>
      <w:r>
        <w:rPr>
          <w:rStyle w:val="33"/>
          <w:rFonts w:cs="Times New Roman"/>
          <w:b/>
        </w:rPr>
        <w:t>6.7 强化考核问责</w:t>
      </w:r>
      <w:r>
        <w:tab/>
      </w:r>
      <w:r>
        <w:fldChar w:fldCharType="begin"/>
      </w:r>
      <w:r>
        <w:instrText xml:space="preserve"> PAGEREF _Toc56103721 \h </w:instrText>
      </w:r>
      <w:r>
        <w:fldChar w:fldCharType="separate"/>
      </w:r>
      <w:r>
        <w:t>41</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"_Toc56103722" </w:instrText>
      </w:r>
      <w:r>
        <w:fldChar w:fldCharType="separate"/>
      </w:r>
      <w:r>
        <w:rPr>
          <w:rStyle w:val="33"/>
          <w:rFonts w:cs="Times New Roman"/>
          <w:b/>
        </w:rPr>
        <w:t>6.8 加强社会监督</w:t>
      </w:r>
      <w:r>
        <w:tab/>
      </w:r>
      <w:r>
        <w:fldChar w:fldCharType="begin"/>
      </w:r>
      <w:r>
        <w:instrText xml:space="preserve"> PAGEREF _Toc56103722 \h </w:instrText>
      </w:r>
      <w:r>
        <w:fldChar w:fldCharType="separate"/>
      </w:r>
      <w:r>
        <w:t>41</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"_Toc56103723" </w:instrText>
      </w:r>
      <w:r>
        <w:fldChar w:fldCharType="separate"/>
      </w:r>
      <w:r>
        <w:rPr>
          <w:rStyle w:val="33"/>
          <w:rFonts w:cs="Times New Roman"/>
          <w:b/>
        </w:rPr>
        <w:t>6.9 维护管理</w:t>
      </w:r>
      <w:r>
        <w:tab/>
      </w:r>
      <w:r>
        <w:fldChar w:fldCharType="begin"/>
      </w:r>
      <w:r>
        <w:instrText xml:space="preserve"> PAGEREF _Toc56103723 \h </w:instrText>
      </w:r>
      <w:r>
        <w:fldChar w:fldCharType="separate"/>
      </w:r>
      <w:r>
        <w:t>42</w:t>
      </w:r>
      <w:r>
        <w:fldChar w:fldCharType="end"/>
      </w:r>
      <w:r>
        <w:fldChar w:fldCharType="end"/>
      </w:r>
    </w:p>
    <w:p>
      <w:pPr>
        <w:pStyle w:val="18"/>
        <w:tabs>
          <w:tab w:val="right" w:leader="dot" w:pos="9060"/>
        </w:tabs>
        <w:ind w:firstLine="562"/>
        <w:rPr>
          <w:rFonts w:asciiTheme="minorHAnsi" w:hAnsiTheme="minorHAnsi" w:eastAsiaTheme="minorEastAsia"/>
          <w:b w:val="0"/>
          <w:sz w:val="21"/>
        </w:rPr>
      </w:pPr>
      <w:r>
        <w:fldChar w:fldCharType="begin"/>
      </w:r>
      <w:r>
        <w:instrText xml:space="preserve"> HYPERLINK \l "_Toc56103724" </w:instrText>
      </w:r>
      <w:r>
        <w:fldChar w:fldCharType="separate"/>
      </w:r>
      <w:r>
        <w:rPr>
          <w:rStyle w:val="33"/>
          <w:rFonts w:cs="Times New Roman"/>
          <w:kern w:val="44"/>
        </w:rPr>
        <w:t>7 结论与建议</w:t>
      </w:r>
      <w:r>
        <w:tab/>
      </w:r>
      <w:r>
        <w:fldChar w:fldCharType="begin"/>
      </w:r>
      <w:r>
        <w:instrText xml:space="preserve"> PAGEREF _Toc56103724 \h </w:instrText>
      </w:r>
      <w:r>
        <w:fldChar w:fldCharType="separate"/>
      </w:r>
      <w:r>
        <w:t>43</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"_Toc56103725" </w:instrText>
      </w:r>
      <w:r>
        <w:fldChar w:fldCharType="separate"/>
      </w:r>
      <w:r>
        <w:rPr>
          <w:rStyle w:val="33"/>
          <w:rFonts w:cs="Times New Roman"/>
          <w:b/>
        </w:rPr>
        <w:t>7.1 结论</w:t>
      </w:r>
      <w:r>
        <w:tab/>
      </w:r>
      <w:r>
        <w:fldChar w:fldCharType="begin"/>
      </w:r>
      <w:r>
        <w:instrText xml:space="preserve"> PAGEREF _Toc56103725 \h </w:instrText>
      </w:r>
      <w:r>
        <w:fldChar w:fldCharType="separate"/>
      </w:r>
      <w:r>
        <w:t>43</w:t>
      </w:r>
      <w:r>
        <w:fldChar w:fldCharType="end"/>
      </w:r>
      <w:r>
        <w:fldChar w:fldCharType="end"/>
      </w:r>
    </w:p>
    <w:p>
      <w:pPr>
        <w:pStyle w:val="22"/>
        <w:tabs>
          <w:tab w:val="right" w:leader="dot" w:pos="9060"/>
        </w:tabs>
        <w:ind w:left="560" w:firstLine="560"/>
        <w:rPr>
          <w:rFonts w:asciiTheme="minorHAnsi" w:hAnsiTheme="minorHAnsi" w:eastAsiaTheme="minorEastAsia"/>
          <w:sz w:val="21"/>
        </w:rPr>
      </w:pPr>
      <w:r>
        <w:fldChar w:fldCharType="begin"/>
      </w:r>
      <w:r>
        <w:instrText xml:space="preserve"> HYPERLINK \l "_Toc56103726" </w:instrText>
      </w:r>
      <w:r>
        <w:fldChar w:fldCharType="separate"/>
      </w:r>
      <w:r>
        <w:rPr>
          <w:rStyle w:val="33"/>
          <w:rFonts w:cs="Times New Roman"/>
          <w:b/>
        </w:rPr>
        <w:t>7.2 建议</w:t>
      </w:r>
      <w:r>
        <w:tab/>
      </w:r>
      <w:r>
        <w:fldChar w:fldCharType="begin"/>
      </w:r>
      <w:r>
        <w:instrText xml:space="preserve"> PAGEREF _Toc56103726 \h </w:instrText>
      </w:r>
      <w:r>
        <w:fldChar w:fldCharType="separate"/>
      </w:r>
      <w:r>
        <w:t>43</w:t>
      </w:r>
      <w:r>
        <w:fldChar w:fldCharType="end"/>
      </w:r>
      <w:r>
        <w:fldChar w:fldCharType="end"/>
      </w:r>
    </w:p>
    <w:p>
      <w:pPr>
        <w:pStyle w:val="18"/>
        <w:tabs>
          <w:tab w:val="right" w:leader="dot" w:pos="9060"/>
        </w:tabs>
        <w:ind w:firstLine="562"/>
        <w:rPr>
          <w:rFonts w:asciiTheme="minorHAnsi" w:hAnsiTheme="minorHAnsi" w:eastAsiaTheme="minorEastAsia"/>
          <w:b w:val="0"/>
          <w:sz w:val="21"/>
        </w:rPr>
      </w:pPr>
      <w:r>
        <w:fldChar w:fldCharType="begin"/>
      </w:r>
      <w:r>
        <w:instrText xml:space="preserve"> HYPERLINK \l "_Toc56103727" </w:instrText>
      </w:r>
      <w:r>
        <w:fldChar w:fldCharType="separate"/>
      </w:r>
      <w:r>
        <w:rPr>
          <w:rStyle w:val="33"/>
          <w:rFonts w:cs="Times New Roman"/>
          <w:kern w:val="44"/>
        </w:rPr>
        <w:t>附表 鳌江（港仔溪）控制点坐标及划界标准</w:t>
      </w:r>
      <w:r>
        <w:tab/>
      </w:r>
      <w:r>
        <w:fldChar w:fldCharType="begin"/>
      </w:r>
      <w:r>
        <w:instrText xml:space="preserve"> PAGEREF _Toc56103727 \h </w:instrText>
      </w:r>
      <w:r>
        <w:fldChar w:fldCharType="separate"/>
      </w:r>
      <w:r>
        <w:t>45</w:t>
      </w:r>
      <w:r>
        <w:fldChar w:fldCharType="end"/>
      </w:r>
      <w:r>
        <w:fldChar w:fldCharType="end"/>
      </w:r>
    </w:p>
    <w:p>
      <w:pPr>
        <w:ind w:firstLine="482"/>
        <w:rPr>
          <w:rFonts w:cs="Times New Roman"/>
          <w:color w:val="000000" w:themeColor="text1"/>
          <w:sz w:val="24"/>
          <w:szCs w:val="20"/>
          <w14:textFill>
            <w14:solidFill>
              <w14:schemeClr w14:val="tx1"/>
            </w14:solidFill>
          </w14:textFill>
        </w:rPr>
        <w:sectPr>
          <w:footerReference r:id="rId15" w:type="default"/>
          <w:pgSz w:w="11906" w:h="16838"/>
          <w:pgMar w:top="1440" w:right="1418" w:bottom="1440" w:left="1418" w:header="851" w:footer="992" w:gutter="0"/>
          <w:pgNumType w:fmt="upperRoman" w:start="1"/>
          <w:cols w:space="720" w:num="1"/>
          <w:docGrid w:type="lines" w:linePitch="381" w:charSpace="0"/>
        </w:sectPr>
      </w:pPr>
      <w:r>
        <w:rPr>
          <w:rFonts w:cs="Times New Roman"/>
          <w:b/>
          <w:color w:val="000000" w:themeColor="text1"/>
          <w:sz w:val="24"/>
          <w:szCs w:val="24"/>
          <w14:textFill>
            <w14:solidFill>
              <w14:schemeClr w14:val="tx1"/>
            </w14:solidFill>
          </w14:textFill>
        </w:rPr>
        <w:fldChar w:fldCharType="end"/>
      </w:r>
    </w:p>
    <w:p>
      <w:pPr>
        <w:keepNext/>
        <w:keepLines/>
        <w:spacing w:before="120" w:after="120"/>
        <w:ind w:firstLine="0" w:firstLineChars="0"/>
        <w:jc w:val="left"/>
        <w:textAlignment w:val="baseline"/>
        <w:outlineLvl w:val="0"/>
        <w:rPr>
          <w:rFonts w:cs="Times New Roman"/>
          <w:b/>
          <w:kern w:val="44"/>
          <w:sz w:val="32"/>
          <w:szCs w:val="20"/>
        </w:rPr>
      </w:pPr>
      <w:bookmarkStart w:id="0" w:name="_Toc56103670"/>
      <w:r>
        <w:rPr>
          <w:rFonts w:cs="Times New Roman"/>
          <w:b/>
          <w:kern w:val="44"/>
          <w:sz w:val="32"/>
          <w:szCs w:val="20"/>
        </w:rPr>
        <w:t>1 概述</w:t>
      </w:r>
      <w:bookmarkEnd w:id="0"/>
      <w:r>
        <w:rPr>
          <w:rFonts w:cs="Times New Roman"/>
          <w:b/>
          <w:kern w:val="44"/>
          <w:sz w:val="32"/>
          <w:szCs w:val="20"/>
        </w:rPr>
        <w:t xml:space="preserve"> </w:t>
      </w:r>
    </w:p>
    <w:p>
      <w:pPr>
        <w:keepNext/>
        <w:keepLines/>
        <w:spacing w:before="156" w:beforeLines="50"/>
        <w:ind w:firstLine="0" w:firstLineChars="0"/>
        <w:jc w:val="left"/>
        <w:textAlignment w:val="baseline"/>
        <w:outlineLvl w:val="1"/>
        <w:rPr>
          <w:rFonts w:cs="Times New Roman"/>
          <w:b/>
          <w:szCs w:val="28"/>
        </w:rPr>
      </w:pPr>
      <w:bookmarkStart w:id="1" w:name="_Toc56103671"/>
      <w:r>
        <w:rPr>
          <w:rFonts w:cs="Times New Roman"/>
          <w:b/>
          <w:szCs w:val="28"/>
        </w:rPr>
        <w:t>1.1 项目背景</w:t>
      </w:r>
      <w:bookmarkEnd w:id="1"/>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依法划定河湖管理范围，明确河湖管理边界线，是加强河湖管理的基础性工作，是水利部门依法行政的前提条件，更是贯彻党的十九大和十九届三中、四中全会精神和习近平总书记关于国家水安全的重要讲话精神，落实水利部深化水利改革和加强河湖管理工作部署的重点任务，对于进一步加强河湖管理与保护具有重要意义。</w:t>
      </w:r>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2014年8月21日，水利部印发了《水利部关于开展河湖管理范围和水利工程管理与保护范围划定工作的通知》（水建管〔2014〕155号），明确要求划定河湖管理范围和水利工程管理与保护范围，要求在2020年前基本完成河湖管理范围和水利工程管理与保护范围的划定工作，并依法依规逐步确定管理范围内的土地使用权属。</w:t>
      </w:r>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我省自2015年5月开展河湖管理范围划定工作以来，取得了一定的成效，但同时部分地区存在组织实施工作滞后、划界质量不高的问题。</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2018年12月19日，水利部印发了《水利部关于加快推进河湖管理范围划定工作的通知》（水河湖〔2018〕314号），要求在2020年年底前，基本完成全国河湖管理范围划定工作，时间紧、任务重。其中，第一次全国水利普查流域面积1000</w:t>
      </w:r>
      <w:r>
        <w:rPr>
          <w:rFonts w:cs="Times New Roman"/>
          <w:szCs w:val="20"/>
        </w:rPr>
        <w:t>km</w:t>
      </w:r>
      <w:r>
        <w:rPr>
          <w:rFonts w:cs="Times New Roman"/>
          <w:szCs w:val="20"/>
          <w:vertAlign w:val="superscript"/>
        </w:rPr>
        <w:t>2</w:t>
      </w:r>
      <w:r>
        <w:rPr>
          <w:rFonts w:cs="Times New Roman"/>
          <w:color w:val="000000" w:themeColor="text1"/>
          <w:szCs w:val="20"/>
          <w14:textFill>
            <w14:solidFill>
              <w14:schemeClr w14:val="tx1"/>
            </w14:solidFill>
          </w14:textFill>
        </w:rPr>
        <w:t>以上的河流、水面面积1</w:t>
      </w:r>
      <w:r>
        <w:rPr>
          <w:rFonts w:cs="Times New Roman"/>
          <w:szCs w:val="20"/>
        </w:rPr>
        <w:t>km</w:t>
      </w:r>
      <w:r>
        <w:rPr>
          <w:rFonts w:cs="Times New Roman"/>
          <w:szCs w:val="20"/>
          <w:vertAlign w:val="superscript"/>
        </w:rPr>
        <w:t>2</w:t>
      </w:r>
      <w:r>
        <w:rPr>
          <w:rFonts w:cs="Times New Roman"/>
          <w:color w:val="000000" w:themeColor="text1"/>
          <w:szCs w:val="20"/>
          <w14:textFill>
            <w14:solidFill>
              <w14:schemeClr w14:val="tx1"/>
            </w14:solidFill>
          </w14:textFill>
        </w:rPr>
        <w:t>以上的湖泊，省、市级党政领导担任河湖长的河湖，力争提前完成。</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2019年2月28日，省全面推行河长制工作领导小组印发了《关于加快推进河湖管理范围划定工作的通知》（粤河长组〔2019〕1），要求各地采取强有力的措施加快推进河湖管理范围划定。</w:t>
      </w:r>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粤水河湖〔2019〕15号文《广东省水利厅关于进一步加快河湖管理范围划定工作的通知》，进一步明确了全省河湖划界工作要求。</w:t>
      </w:r>
    </w:p>
    <w:p>
      <w:pPr>
        <w:ind w:firstLine="560"/>
        <w:rPr>
          <w:rFonts w:cs="Times New Roman"/>
          <w:color w:val="000000" w:themeColor="text1"/>
          <w:szCs w:val="28"/>
          <w14:textFill>
            <w14:solidFill>
              <w14:schemeClr w14:val="tx1"/>
            </w14:solidFill>
          </w14:textFill>
        </w:rPr>
      </w:pPr>
      <w:r>
        <w:rPr>
          <w:rFonts w:cs="Times New Roman"/>
          <w:szCs w:val="28"/>
        </w:rPr>
        <w:t>我院</w:t>
      </w:r>
      <w:r>
        <w:rPr>
          <w:rFonts w:hint="eastAsia" w:cs="Times New Roman"/>
          <w:szCs w:val="28"/>
        </w:rPr>
        <w:t>承担汕尾市华侨管理区</w:t>
      </w:r>
      <w:r>
        <w:rPr>
          <w:rFonts w:hint="eastAsia" w:cs="Times New Roman"/>
          <w:color w:val="000000" w:themeColor="text1"/>
          <w:szCs w:val="28"/>
          <w14:textFill>
            <w14:solidFill>
              <w14:schemeClr w14:val="tx1"/>
            </w14:solidFill>
          </w14:textFill>
        </w:rPr>
        <w:t>鳌江（港仔溪）</w:t>
      </w:r>
      <w:r>
        <w:rPr>
          <w:rFonts w:cs="Times New Roman"/>
          <w:color w:val="000000" w:themeColor="text1"/>
          <w:szCs w:val="28"/>
          <w14:textFill>
            <w14:solidFill>
              <w14:schemeClr w14:val="tx1"/>
            </w14:solidFill>
          </w14:textFill>
        </w:rPr>
        <w:t>河湖管理划定项目后，项目组成员到实地进行现场查勘、调查，收集有关河道、堤防及水文等资料，并根据有关法律法规、规程规范要求，依据相关规划设计资料，结合水面线复核、无人机航拍及卫片，开展</w:t>
      </w:r>
      <w:r>
        <w:rPr>
          <w:rFonts w:hint="eastAsia" w:cs="Times New Roman"/>
          <w:color w:val="000000" w:themeColor="text1"/>
          <w:szCs w:val="28"/>
          <w14:textFill>
            <w14:solidFill>
              <w14:schemeClr w14:val="tx1"/>
            </w14:solidFill>
          </w14:textFill>
        </w:rPr>
        <w:t>鳌江（港仔溪）</w:t>
      </w:r>
      <w:r>
        <w:rPr>
          <w:rFonts w:cs="Times New Roman"/>
          <w:color w:val="000000" w:themeColor="text1"/>
          <w:szCs w:val="28"/>
          <w14:textFill>
            <w14:solidFill>
              <w14:schemeClr w14:val="tx1"/>
            </w14:solidFill>
          </w14:textFill>
        </w:rPr>
        <w:t>河湖管理范围划定工作。根据委托任务及划界任务清单，本次</w:t>
      </w:r>
      <w:r>
        <w:rPr>
          <w:rFonts w:hint="eastAsia" w:cs="Times New Roman"/>
          <w:color w:val="000000" w:themeColor="text1"/>
          <w:szCs w:val="28"/>
          <w14:textFill>
            <w14:solidFill>
              <w14:schemeClr w14:val="tx1"/>
            </w14:solidFill>
          </w14:textFill>
        </w:rPr>
        <w:t>汕尾市华侨管理区</w:t>
      </w:r>
      <w:r>
        <w:rPr>
          <w:rFonts w:cs="Times New Roman"/>
          <w:color w:val="000000" w:themeColor="text1"/>
          <w:szCs w:val="28"/>
          <w14:textFill>
            <w14:solidFill>
              <w14:schemeClr w14:val="tx1"/>
            </w14:solidFill>
          </w14:textFill>
        </w:rPr>
        <w:t>河湖管理划定对象为</w:t>
      </w:r>
      <w:r>
        <w:rPr>
          <w:rFonts w:hint="eastAsia" w:cs="Times New Roman"/>
          <w:color w:val="000000" w:themeColor="text1"/>
          <w:szCs w:val="28"/>
          <w14:textFill>
            <w14:solidFill>
              <w14:schemeClr w14:val="tx1"/>
            </w14:solidFill>
          </w14:textFill>
        </w:rPr>
        <w:t>鳌江（港仔溪）华侨管理区段</w:t>
      </w:r>
      <w:r>
        <w:rPr>
          <w:rFonts w:cs="Times New Roman"/>
          <w:color w:val="000000" w:themeColor="text1"/>
          <w:szCs w:val="28"/>
          <w14:textFill>
            <w14:solidFill>
              <w14:schemeClr w14:val="tx1"/>
            </w14:solidFill>
          </w14:textFill>
        </w:rPr>
        <w:t>，总应划界长度约为4.783km。根据国家、省关于河湖管理范围划定工作的有关部署，</w:t>
      </w:r>
      <w:r>
        <w:rPr>
          <w:rFonts w:hint="eastAsia" w:cs="Times New Roman"/>
          <w:color w:val="000000" w:themeColor="text1"/>
          <w:szCs w:val="28"/>
          <w14:textFill>
            <w14:solidFill>
              <w14:schemeClr w14:val="tx1"/>
            </w14:solidFill>
          </w14:textFill>
        </w:rPr>
        <w:t>本项工作应在</w:t>
      </w:r>
      <w:r>
        <w:rPr>
          <w:rFonts w:cs="Times New Roman"/>
          <w:color w:val="000000" w:themeColor="text1"/>
          <w:szCs w:val="28"/>
          <w14:textFill>
            <w14:solidFill>
              <w14:schemeClr w14:val="tx1"/>
            </w14:solidFill>
          </w14:textFill>
        </w:rPr>
        <w:t>2020年年底前完成。</w:t>
      </w:r>
    </w:p>
    <w:p>
      <w:pPr>
        <w:keepNext/>
        <w:keepLines/>
        <w:spacing w:before="156" w:beforeLines="50"/>
        <w:ind w:firstLine="0" w:firstLineChars="0"/>
        <w:jc w:val="left"/>
        <w:textAlignment w:val="baseline"/>
        <w:outlineLvl w:val="1"/>
        <w:rPr>
          <w:rFonts w:cs="Times New Roman"/>
          <w:b/>
          <w:szCs w:val="28"/>
        </w:rPr>
      </w:pPr>
      <w:bookmarkStart w:id="2" w:name="_Toc56103672"/>
      <w:r>
        <w:rPr>
          <w:rFonts w:cs="Times New Roman"/>
          <w:b/>
          <w:szCs w:val="28"/>
        </w:rPr>
        <w:t>1.2 目标任务与责任主体</w:t>
      </w:r>
      <w:bookmarkEnd w:id="2"/>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（1）划定目标</w:t>
      </w:r>
    </w:p>
    <w:p>
      <w:pPr>
        <w:ind w:firstLine="560"/>
        <w:rPr>
          <w:rFonts w:cs="Times New Roman"/>
          <w:color w:val="000000" w:themeColor="text1"/>
          <w:szCs w:val="28"/>
          <w14:textFill>
            <w14:solidFill>
              <w14:schemeClr w14:val="tx1"/>
            </w14:solidFill>
          </w14:textFill>
        </w:rPr>
      </w:pPr>
      <w:r>
        <w:rPr>
          <w:rFonts w:cs="Times New Roman"/>
          <w:color w:val="000000" w:themeColor="text1"/>
          <w:szCs w:val="20"/>
          <w14:textFill>
            <w14:solidFill>
              <w14:schemeClr w14:val="tx1"/>
            </w14:solidFill>
          </w14:textFill>
        </w:rPr>
        <w:t>通过划定河道管理范围，在保障行洪安全，兼顾排涝和水环境需求，维持河势稳定、保障供水安全、保护水生态环境和其他公众利益活动的前提下，按照保护优先、开发有序、合理控制的要求，提出</w:t>
      </w:r>
      <w:r>
        <w:rPr>
          <w:rFonts w:hint="eastAsia" w:cs="Times New Roman"/>
          <w:color w:val="000000" w:themeColor="text1"/>
          <w:szCs w:val="20"/>
          <w14:textFill>
            <w14:solidFill>
              <w14:schemeClr w14:val="tx1"/>
            </w14:solidFill>
          </w14:textFill>
        </w:rPr>
        <w:t>华侨管理区</w:t>
      </w:r>
      <w:r>
        <w:rPr>
          <w:rFonts w:cs="Times New Roman"/>
          <w:color w:val="000000" w:themeColor="text1"/>
          <w:szCs w:val="28"/>
          <w14:textFill>
            <w14:solidFill>
              <w14:schemeClr w14:val="tx1"/>
            </w14:solidFill>
          </w14:textFill>
        </w:rPr>
        <w:t>河湖管理范围有效利用、科学保护、强化管理的布局和方案，为实现河道管理范围的依法、科学、有序利用和控制保护奠定基础，为今后岸线资源开发利用与管理提供重要依据和准则。</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（2）划定任务</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依据法律法规和相关技术规范开展河湖管理范围划定工作。其中，本次成果报告包括</w:t>
      </w:r>
      <w:r>
        <w:rPr>
          <w:rFonts w:hint="eastAsia" w:cs="Times New Roman"/>
          <w:color w:val="000000" w:themeColor="text1"/>
          <w:szCs w:val="28"/>
          <w14:textFill>
            <w14:solidFill>
              <w14:schemeClr w14:val="tx1"/>
            </w14:solidFill>
          </w14:textFill>
        </w:rPr>
        <w:t>鳌江（港仔溪）华侨管理区段</w:t>
      </w:r>
      <w:r>
        <w:rPr>
          <w:rFonts w:cs="Times New Roman"/>
          <w:color w:val="000000" w:themeColor="text1"/>
          <w:szCs w:val="20"/>
          <w14:textFill>
            <w14:solidFill>
              <w14:schemeClr w14:val="tx1"/>
            </w14:solidFill>
          </w14:textFill>
        </w:rPr>
        <w:t>，总体划界长度约为</w:t>
      </w:r>
      <w:r>
        <w:rPr>
          <w:rFonts w:cs="Times New Roman"/>
          <w:color w:val="000000" w:themeColor="text1"/>
          <w:szCs w:val="28"/>
          <w14:textFill>
            <w14:solidFill>
              <w14:schemeClr w14:val="tx1"/>
            </w14:solidFill>
          </w14:textFill>
        </w:rPr>
        <w:t>4.783</w:t>
      </w:r>
      <w:r>
        <w:rPr>
          <w:rFonts w:cs="Times New Roman"/>
          <w:color w:val="000000" w:themeColor="text1"/>
          <w:szCs w:val="20"/>
          <w14:textFill>
            <w14:solidFill>
              <w14:schemeClr w14:val="tx1"/>
            </w14:solidFill>
          </w14:textFill>
        </w:rPr>
        <w:t>km</w:t>
      </w:r>
      <w:r>
        <w:rPr>
          <w:rFonts w:hint="eastAsia" w:cs="Times New Roman"/>
          <w:color w:val="000000" w:themeColor="text1"/>
          <w:szCs w:val="20"/>
          <w14:textFill>
            <w14:solidFill>
              <w14:schemeClr w14:val="tx1"/>
            </w14:solidFill>
          </w14:textFill>
        </w:rPr>
        <w:t>。</w:t>
      </w:r>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（3）责任主体</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根据《水法》《防洪法》《河道管理条例》规定，由县级以上地方人民政府负责划定河湖管理范围，县级以上地方水行政主管部门商请相关部门开展具体划定工作。流域管理机构直接管理的河湖管理范围，由流域管理机构会同有关县级以上地方人民政府划定。</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各地按照省负总责、分级负责的原则开展工作。省级负责统一部署和组织本行政区域河湖管理范围划定工作，省级水行政主管部门要提出操作性强的工作措施，明确工作目标、技术标准和进度要求等。省、市、县级按照河湖管理权限和属地管理职责要求，分级开展河湖管理范围划定工作。</w:t>
      </w:r>
    </w:p>
    <w:p>
      <w:pPr>
        <w:ind w:firstLine="560"/>
        <w:rPr>
          <w:rFonts w:cs="Times New Roman"/>
          <w:color w:val="000000" w:themeColor="text1"/>
          <w:szCs w:val="20"/>
          <w14:textFill>
            <w14:solidFill>
              <w14:schemeClr w14:val="tx1"/>
            </w14:solidFill>
          </w14:textFill>
        </w:rPr>
      </w:pPr>
      <w:r>
        <w:rPr>
          <w:rFonts w:cs="Times New Roman"/>
        </w:rPr>
        <w:t>中共中央办公厅、国务院办公厅印发的《关于全面推行河长制的意见》、《关于在湖泊实施湖长制的指导意见》，明确将依法划定河湖管理范围作为河长制湖长制的主要任务。各级河长制办公室要积极提请、督促相关河长湖长履职尽责，提请省、市、县级总河长予以安排部署，协调解决经费落实、部门合作等重大问题，提请河湖最高层级河长湖长主动抓总负责所管辖河湖的管理范围划定工作，并将工作任务分解落实到各级各段河长湖长。</w:t>
      </w:r>
    </w:p>
    <w:p>
      <w:pPr>
        <w:keepNext/>
        <w:keepLines/>
        <w:spacing w:before="156" w:beforeLines="50"/>
        <w:ind w:firstLine="0" w:firstLineChars="0"/>
        <w:jc w:val="left"/>
        <w:textAlignment w:val="baseline"/>
        <w:outlineLvl w:val="1"/>
        <w:rPr>
          <w:rFonts w:cs="Times New Roman"/>
          <w:b/>
          <w:szCs w:val="28"/>
        </w:rPr>
      </w:pPr>
      <w:bookmarkStart w:id="3" w:name="_Toc56103673"/>
      <w:r>
        <w:rPr>
          <w:rFonts w:cs="Times New Roman"/>
          <w:b/>
          <w:szCs w:val="28"/>
        </w:rPr>
        <w:t>1.3 总体要求和基本原则</w:t>
      </w:r>
      <w:bookmarkEnd w:id="3"/>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（1）总体要求</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全面贯彻党的十九大精神，以习近平新时代中国特色社会主义思想为指导，深入贯彻习近平总书记对广东重要指示批示精神，树立和践行绿水青山就是金山银山的理念，以</w:t>
      </w:r>
      <w:r>
        <w:rPr>
          <w:rFonts w:ascii="宋体" w:hAnsi="宋体"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四个走在前列</w:t>
      </w:r>
      <w:r>
        <w:rPr>
          <w:rFonts w:ascii="宋体" w:hAnsi="宋体"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为统领，按照</w:t>
      </w:r>
      <w:r>
        <w:rPr>
          <w:rFonts w:cs="Times New Roman"/>
          <w:color w:val="000000" w:themeColor="text1"/>
          <w:szCs w:val="28"/>
          <w14:textFill>
            <w14:solidFill>
              <w14:schemeClr w14:val="tx1"/>
            </w14:solidFill>
          </w14:textFill>
        </w:rPr>
        <w:t>《中华人民共和国防洪法》《中华人民共和国河道管理条例》《广东省河道堤防管理条例》《广东省水利工程管理条例》等相关法律法规，依照《广东省河湖管理范围划定技术指引（试行）》，结合</w:t>
      </w:r>
      <w:r>
        <w:rPr>
          <w:rFonts w:cs="Times New Roman"/>
          <w:color w:val="000000" w:themeColor="text1"/>
          <w:szCs w:val="20"/>
          <w14:textFill>
            <w14:solidFill>
              <w14:schemeClr w14:val="tx1"/>
            </w14:solidFill>
          </w14:textFill>
        </w:rPr>
        <w:t>管辖范围内河道、湖泊管理实际，提出划定河湖管理范围的总体要求如下：</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①</w:t>
      </w:r>
      <w:r>
        <w:rPr>
          <w:rFonts w:cs="Times New Roman"/>
          <w:color w:val="000000" w:themeColor="text1"/>
          <w:szCs w:val="20"/>
          <w14:textFill>
            <w14:solidFill>
              <w14:schemeClr w14:val="tx1"/>
            </w14:solidFill>
          </w14:textFill>
        </w:rPr>
        <w:t>按照《广东省河湖管理范围划定技术指引</w:t>
      </w:r>
      <w:r>
        <w:rPr>
          <w:rFonts w:cs="Times New Roman"/>
          <w:color w:val="000000" w:themeColor="text1"/>
          <w:szCs w:val="28"/>
          <w14:textFill>
            <w14:solidFill>
              <w14:schemeClr w14:val="tx1"/>
            </w14:solidFill>
          </w14:textFill>
        </w:rPr>
        <w:t>（试行）</w:t>
      </w:r>
      <w:r>
        <w:rPr>
          <w:rFonts w:cs="Times New Roman"/>
          <w:color w:val="000000" w:themeColor="text1"/>
          <w:szCs w:val="20"/>
          <w14:textFill>
            <w14:solidFill>
              <w14:schemeClr w14:val="tx1"/>
            </w14:solidFill>
          </w14:textFill>
        </w:rPr>
        <w:t xml:space="preserve">》要求，开展划定工作。 </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②</w:t>
      </w:r>
      <w:r>
        <w:rPr>
          <w:rFonts w:cs="Times New Roman"/>
          <w:color w:val="000000" w:themeColor="text1"/>
          <w:szCs w:val="20"/>
          <w14:textFill>
            <w14:solidFill>
              <w14:schemeClr w14:val="tx1"/>
            </w14:solidFill>
          </w14:textFill>
        </w:rPr>
        <w:t>河湖管理范围划定标准应依据有关法律规、技术标准、政策文件和工程设计、批复文件等，明确管理范围、保护范围的划界标准；或根据河湖管理与保护实际、节约利用土地等要求，因地制宜确定划界标准，并明确到各河流。市级应统筹跨县、跨市河流的划定工作，保障其标准统一。</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③</w:t>
      </w:r>
      <w:r>
        <w:rPr>
          <w:rFonts w:cs="Times New Roman"/>
          <w:color w:val="000000" w:themeColor="text1"/>
          <w:szCs w:val="20"/>
          <w14:textFill>
            <w14:solidFill>
              <w14:schemeClr w14:val="tx1"/>
            </w14:solidFill>
          </w14:textFill>
        </w:rPr>
        <w:t>划界底图比例尺和精度不应低于1：2000比例尺的正射影像标准。在基于正射影像无法准确识别堤脚线、土埂脚、护岸岸顶等起算线的河道，应基于立体像相对模型、加密点云数据或现场量测等方法，保障起算线识别的准确性，从而保障管理范围划定成果质量。对于无堤防河段，搜集河段设计洪水位线资料，分断面确定起算线，然后确定河道管理范围线。</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④</w:t>
      </w:r>
      <w:r>
        <w:rPr>
          <w:rFonts w:cs="Times New Roman"/>
          <w:color w:val="000000" w:themeColor="text1"/>
          <w:szCs w:val="20"/>
          <w14:textFill>
            <w14:solidFill>
              <w14:schemeClr w14:val="tx1"/>
            </w14:solidFill>
          </w14:textFill>
        </w:rPr>
        <w:t>划定成果形式包括为电子地图、划界依据电子文档、划界成果公示材料。</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（2）基本原则</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遵循《水法》《防洪法》《中华人民共和国河道管理条例》《广东省河道堤防管理条例》《广东省水利工程管理条例》等法律法规，组织开展河湖管理范围划界工作，并确定工作原则如下：</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①</w:t>
      </w:r>
      <w:r>
        <w:rPr>
          <w:rFonts w:cs="Times New Roman"/>
          <w:color w:val="000000" w:themeColor="text1"/>
          <w:szCs w:val="20"/>
          <w14:textFill>
            <w14:solidFill>
              <w14:schemeClr w14:val="tx1"/>
            </w14:solidFill>
          </w14:textFill>
        </w:rPr>
        <w:t>依法依规</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以有关法律法规、规范性文件、技术标准和工程立项审批文件为依据，依法依规开展工作。</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②</w:t>
      </w:r>
      <w:r>
        <w:rPr>
          <w:rFonts w:cs="Times New Roman"/>
          <w:color w:val="000000" w:themeColor="text1"/>
          <w:szCs w:val="20"/>
          <w14:textFill>
            <w14:solidFill>
              <w14:schemeClr w14:val="tx1"/>
            </w14:solidFill>
          </w14:textFill>
        </w:rPr>
        <w:t>轻重缓急</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区分轻重缓急，以管理任务重、涉水事务多、地位和作用较为重要的河湖和水利工程为重点，在此基础上全面推进。</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③</w:t>
      </w:r>
      <w:r>
        <w:rPr>
          <w:rFonts w:cs="Times New Roman"/>
          <w:color w:val="000000" w:themeColor="text1"/>
          <w:szCs w:val="20"/>
          <w14:textFill>
            <w14:solidFill>
              <w14:schemeClr w14:val="tx1"/>
            </w14:solidFill>
          </w14:textFill>
        </w:rPr>
        <w:t>先易后难</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先划定管理和保护范围，后确定管理范围内土地使用权属（简称先划界、后确权）。具备条件的可同步划界、确权，土地权属有争议的可先划界。</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④</w:t>
      </w:r>
      <w:r>
        <w:rPr>
          <w:rFonts w:cs="Times New Roman"/>
          <w:color w:val="000000" w:themeColor="text1"/>
          <w:szCs w:val="20"/>
          <w14:textFill>
            <w14:solidFill>
              <w14:schemeClr w14:val="tx1"/>
            </w14:solidFill>
          </w14:textFill>
        </w:rPr>
        <w:t>因地制宜</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按照节约利用土地、符合河湖管理和水利工程管理与保护实际的要求，尊重历史、考虑现实，因地制宜确定划界原则和标准。</w:t>
      </w:r>
    </w:p>
    <w:p>
      <w:pPr>
        <w:keepNext/>
        <w:keepLines/>
        <w:spacing w:before="156" w:beforeLines="50"/>
        <w:ind w:firstLine="0" w:firstLineChars="0"/>
        <w:jc w:val="left"/>
        <w:textAlignment w:val="baseline"/>
        <w:outlineLvl w:val="1"/>
        <w:rPr>
          <w:rFonts w:cs="Times New Roman"/>
          <w:b/>
          <w:szCs w:val="28"/>
        </w:rPr>
      </w:pPr>
      <w:bookmarkStart w:id="4" w:name="_Toc56103674"/>
      <w:r>
        <w:rPr>
          <w:rFonts w:cs="Times New Roman"/>
          <w:b/>
          <w:szCs w:val="28"/>
        </w:rPr>
        <w:t>1.4 工作内容及技术路线</w:t>
      </w:r>
      <w:bookmarkEnd w:id="4"/>
    </w:p>
    <w:p>
      <w:pPr>
        <w:ind w:firstLine="562"/>
        <w:rPr>
          <w:rFonts w:cs="Times New Roman"/>
          <w:b/>
          <w:szCs w:val="20"/>
        </w:rPr>
      </w:pPr>
      <w:r>
        <w:rPr>
          <w:rFonts w:cs="Times New Roman"/>
          <w:b/>
          <w:szCs w:val="20"/>
        </w:rPr>
        <w:t>（1）工作内容</w:t>
      </w:r>
    </w:p>
    <w:p>
      <w:pPr>
        <w:ind w:firstLine="560"/>
        <w:rPr>
          <w:rFonts w:cs="Times New Roman"/>
          <w:szCs w:val="28"/>
        </w:rPr>
      </w:pPr>
      <w:r>
        <w:rPr>
          <w:rFonts w:cs="Times New Roman"/>
          <w:szCs w:val="28"/>
        </w:rPr>
        <w:t>研究内容包括确定划定依据，分析计算设计水面线，标绘起算线，以及划定河湖管理范围边界。在划定成果基础上设置界点位置，制作成果专题图和辅助公示的材料，按省厅要求提交各类项目成果资料。详细工作清单如下：</w:t>
      </w:r>
    </w:p>
    <w:p>
      <w:pPr>
        <w:ind w:firstLine="560"/>
        <w:rPr>
          <w:rFonts w:cs="Times New Roman"/>
          <w:szCs w:val="28"/>
        </w:rPr>
      </w:pPr>
      <w:r>
        <w:rPr>
          <w:rFonts w:cs="Times New Roman"/>
          <w:szCs w:val="28"/>
        </w:rPr>
        <w:t>1）河道、湖泊现状分析：通过对收集的划定范围内的水文气象、社会经济、河道地形、河势情况，以及对有关部门的规划成果及各地市河道堤防等水利工程和岸线管理的政策措施等相关资料的整理和分析，总结划定范围内河道和湖泊的现状情况以及管理范围线划定存在的问题，为后续河湖管理范围线划定提供材料和依据；</w:t>
      </w:r>
    </w:p>
    <w:p>
      <w:pPr>
        <w:ind w:firstLine="560"/>
        <w:rPr>
          <w:rFonts w:cs="Times New Roman"/>
          <w:szCs w:val="28"/>
        </w:rPr>
      </w:pPr>
      <w:r>
        <w:rPr>
          <w:rFonts w:cs="Times New Roman"/>
          <w:szCs w:val="28"/>
        </w:rPr>
        <w:t>2）收集河湖划界工作所需基础资料，收集划界河道两岸临近区域的土地利用、河道治理、堤防和水闸等水利工程的规划设计等相关资料的收集、整理及必要的复核；</w:t>
      </w:r>
    </w:p>
    <w:p>
      <w:pPr>
        <w:ind w:firstLine="560"/>
        <w:rPr>
          <w:rFonts w:cs="Times New Roman"/>
          <w:szCs w:val="28"/>
        </w:rPr>
      </w:pPr>
      <w:r>
        <w:rPr>
          <w:rFonts w:cs="Times New Roman"/>
          <w:szCs w:val="28"/>
        </w:rPr>
        <w:t>3）对项目区河湖进行现场调查、踏勘、补充量测等工作，调查当前划界确权情况；调查下阶段划界工作范围及存在问题等；调查划界河道土地利用情况、水利工程状况、河道现状防洪标准、设计水面线等；调查划界河道规划土地利用、规划水利工程、规划防洪标准及相应设计水面线等；</w:t>
      </w:r>
    </w:p>
    <w:p>
      <w:pPr>
        <w:ind w:firstLine="560"/>
        <w:rPr>
          <w:rFonts w:cs="Times New Roman"/>
          <w:szCs w:val="28"/>
        </w:rPr>
      </w:pPr>
      <w:r>
        <w:rPr>
          <w:rFonts w:cs="Times New Roman"/>
          <w:szCs w:val="28"/>
        </w:rPr>
        <w:t>4）根据现场调查量测资料，修订和更新划界对象的河湖名录数据；</w:t>
      </w:r>
    </w:p>
    <w:p>
      <w:pPr>
        <w:ind w:firstLine="560"/>
        <w:rPr>
          <w:rFonts w:cs="Times New Roman"/>
          <w:szCs w:val="28"/>
        </w:rPr>
      </w:pPr>
      <w:r>
        <w:rPr>
          <w:rFonts w:cs="Times New Roman"/>
          <w:szCs w:val="28"/>
        </w:rPr>
        <w:t>5）采集项目区河流对象1：1000比例尺低空航测数据；</w:t>
      </w:r>
    </w:p>
    <w:p>
      <w:pPr>
        <w:ind w:firstLine="560"/>
        <w:rPr>
          <w:rFonts w:cs="Times New Roman"/>
          <w:szCs w:val="28"/>
        </w:rPr>
      </w:pPr>
      <w:r>
        <w:rPr>
          <w:rFonts w:cs="Times New Roman"/>
          <w:szCs w:val="28"/>
        </w:rPr>
        <w:t>6）分析和确定各河湖地形地貌情况下的划定依据；</w:t>
      </w:r>
    </w:p>
    <w:p>
      <w:pPr>
        <w:ind w:firstLine="560"/>
        <w:rPr>
          <w:rFonts w:cs="Times New Roman"/>
          <w:szCs w:val="28"/>
        </w:rPr>
      </w:pPr>
      <w:r>
        <w:rPr>
          <w:rFonts w:cs="Times New Roman"/>
          <w:szCs w:val="28"/>
        </w:rPr>
        <w:t>7）依据划界标准，按需计算部分河段设计水面线；对于有堤河段按堤脚线提取管护范围起算线，对于无堤河段按设计水面线确定起算线；</w:t>
      </w:r>
    </w:p>
    <w:p>
      <w:pPr>
        <w:ind w:firstLine="560"/>
        <w:rPr>
          <w:rFonts w:cs="Times New Roman"/>
          <w:szCs w:val="28"/>
        </w:rPr>
      </w:pPr>
      <w:r>
        <w:rPr>
          <w:rFonts w:cs="Times New Roman"/>
          <w:szCs w:val="28"/>
        </w:rPr>
        <w:t>8）划定河湖管护范围；</w:t>
      </w:r>
    </w:p>
    <w:p>
      <w:pPr>
        <w:ind w:firstLine="560"/>
        <w:rPr>
          <w:rFonts w:cs="Times New Roman"/>
          <w:szCs w:val="28"/>
        </w:rPr>
      </w:pPr>
      <w:r>
        <w:rPr>
          <w:rFonts w:cs="Times New Roman"/>
          <w:szCs w:val="28"/>
        </w:rPr>
        <w:t>9）提供管理范围图和界点坐标；</w:t>
      </w:r>
    </w:p>
    <w:p>
      <w:pPr>
        <w:ind w:firstLine="560"/>
        <w:rPr>
          <w:rFonts w:cs="Times New Roman"/>
          <w:szCs w:val="28"/>
        </w:rPr>
      </w:pPr>
      <w:r>
        <w:rPr>
          <w:rFonts w:cs="Times New Roman"/>
          <w:szCs w:val="28"/>
        </w:rPr>
        <w:t>10）制作成果专题图和辅助公示的材料；</w:t>
      </w:r>
    </w:p>
    <w:p>
      <w:pPr>
        <w:ind w:firstLine="560"/>
        <w:rPr>
          <w:rFonts w:cs="Times New Roman"/>
          <w:szCs w:val="28"/>
        </w:rPr>
      </w:pPr>
      <w:r>
        <w:rPr>
          <w:rFonts w:cs="Times New Roman"/>
          <w:szCs w:val="28"/>
        </w:rPr>
        <w:t>11）按省厅要求提交各类项目成果资料；</w:t>
      </w:r>
    </w:p>
    <w:p>
      <w:pPr>
        <w:ind w:firstLine="560"/>
        <w:rPr>
          <w:rFonts w:cs="Times New Roman"/>
          <w:szCs w:val="28"/>
        </w:rPr>
      </w:pPr>
      <w:r>
        <w:rPr>
          <w:rFonts w:cs="Times New Roman"/>
          <w:szCs w:val="28"/>
        </w:rPr>
        <w:t>12）河湖划定成果上传至省水利厅河湖划界成果上报与审核系统，并审核通过；</w:t>
      </w:r>
    </w:p>
    <w:p>
      <w:pPr>
        <w:ind w:firstLine="560"/>
        <w:rPr>
          <w:rFonts w:cs="Times New Roman"/>
          <w:szCs w:val="28"/>
        </w:rPr>
      </w:pPr>
      <w:r>
        <w:rPr>
          <w:rFonts w:cs="Times New Roman"/>
          <w:szCs w:val="28"/>
        </w:rPr>
        <w:t>13）协助划界成果与</w:t>
      </w:r>
      <w:r>
        <w:rPr>
          <w:rFonts w:hint="eastAsia" w:cs="Times New Roman"/>
          <w:szCs w:val="28"/>
        </w:rPr>
        <w:t>汕尾市华侨</w:t>
      </w:r>
      <w:r>
        <w:rPr>
          <w:rFonts w:cs="Times New Roman"/>
          <w:szCs w:val="28"/>
        </w:rPr>
        <w:t>区多规合一衔接工作。</w:t>
      </w:r>
    </w:p>
    <w:p>
      <w:pPr>
        <w:ind w:firstLine="562"/>
        <w:rPr>
          <w:rFonts w:cs="Times New Roman"/>
          <w:b/>
          <w:szCs w:val="20"/>
        </w:rPr>
      </w:pPr>
      <w:r>
        <w:rPr>
          <w:rFonts w:cs="Times New Roman"/>
          <w:b/>
          <w:szCs w:val="20"/>
        </w:rPr>
        <w:t>（2）技术路线</w:t>
      </w:r>
    </w:p>
    <w:p>
      <w:pPr>
        <w:ind w:firstLine="560"/>
        <w:rPr>
          <w:rFonts w:cs="Times New Roman"/>
          <w:szCs w:val="20"/>
        </w:rPr>
      </w:pPr>
      <w:r>
        <w:rPr>
          <w:rFonts w:cs="Times New Roman"/>
          <w:szCs w:val="28"/>
        </w:rPr>
        <w:t>对</w:t>
      </w:r>
      <w:r>
        <w:rPr>
          <w:rFonts w:hint="eastAsia" w:cs="Times New Roman"/>
          <w:szCs w:val="28"/>
        </w:rPr>
        <w:t>汕尾市华侨管理区</w:t>
      </w:r>
      <w:r>
        <w:rPr>
          <w:rFonts w:hint="eastAsia" w:cs="Times New Roman"/>
          <w:color w:val="000000" w:themeColor="text1"/>
          <w:szCs w:val="28"/>
          <w14:textFill>
            <w14:solidFill>
              <w14:schemeClr w14:val="tx1"/>
            </w14:solidFill>
          </w14:textFill>
        </w:rPr>
        <w:t>鳌江（港仔溪）</w:t>
      </w:r>
      <w:r>
        <w:rPr>
          <w:rFonts w:cs="Times New Roman"/>
          <w:szCs w:val="28"/>
        </w:rPr>
        <w:t>开展调研工作，搜集划界河流相关基础资料，</w:t>
      </w:r>
      <w:r>
        <w:rPr>
          <w:rFonts w:cs="Times New Roman"/>
          <w:szCs w:val="20"/>
        </w:rPr>
        <w:t>分析管理范围划定现状和存在问题。</w:t>
      </w:r>
      <w:r>
        <w:rPr>
          <w:rFonts w:cs="Times New Roman"/>
          <w:szCs w:val="28"/>
        </w:rPr>
        <w:t>根据调研情况，确定河流划界、堤围范围，确定划界依据并编制工作大纲和实施方案。河湖划界基于地形图、立体像对和正射影像数据，</w:t>
      </w:r>
      <w:r>
        <w:rPr>
          <w:rFonts w:cs="Times New Roman"/>
          <w:szCs w:val="20"/>
        </w:rPr>
        <w:t>按照有关技术要求，</w:t>
      </w:r>
      <w:r>
        <w:rPr>
          <w:rFonts w:cs="Times New Roman"/>
          <w:szCs w:val="28"/>
        </w:rPr>
        <w:t>通过绘制堤脚线、护岸岸顶线和坡脚线等，分河段得到管理区边界。</w:t>
      </w:r>
      <w:r>
        <w:rPr>
          <w:rFonts w:cs="Times New Roman"/>
          <w:szCs w:val="20"/>
        </w:rPr>
        <w:t>在资料收集与整理分析的基础上，分析河湖管理范围划定现状和存在问题，根据《广东省河湖管理范围划定技术指引（试行）》，确定河道管理范围线划定目标并提出相关意见建议。按照有关法律、法规、规程规范和相关规划及技术要求，提出河道管理范围划定成果。</w:t>
      </w:r>
    </w:p>
    <w:p>
      <w:pPr>
        <w:ind w:firstLine="0" w:firstLineChars="0"/>
        <w:jc w:val="center"/>
        <w:rPr>
          <w:rFonts w:cs="Times New Roman"/>
        </w:rPr>
      </w:pPr>
      <w:r>
        <w:rPr>
          <w:rFonts w:cs="Times New Roman"/>
        </w:rPr>
        <w:object>
          <v:shape id="_x0000_i1025" o:spt="75" type="#_x0000_t75" style="height:441pt;width:453.75pt;" o:ole="t" filled="f" o:preferrelative="t" stroked="f" coordsize="21600,21600">
            <v:path/>
            <v:fill on="f" focussize="0,0"/>
            <v:stroke on="f" joinstyle="miter"/>
            <v:imagedata r:id="rId25" o:title=""/>
            <o:lock v:ext="edit" aspectratio="t"/>
            <w10:wrap type="none"/>
            <w10:anchorlock/>
          </v:shape>
          <o:OLEObject Type="Embed" ProgID="Visio.Drawing.15" ShapeID="_x0000_i1025" DrawAspect="Content" ObjectID="_1468075725" r:id="rId24">
            <o:LockedField>false</o:LockedField>
          </o:OLEObject>
        </w:object>
      </w:r>
    </w:p>
    <w:p>
      <w:pPr>
        <w:spacing w:before="312" w:beforeLines="100"/>
        <w:ind w:firstLine="422"/>
        <w:jc w:val="center"/>
        <w:rPr>
          <w:rFonts w:cs="Times New Roman"/>
          <w:b/>
          <w:bCs/>
          <w:sz w:val="21"/>
          <w:szCs w:val="21"/>
        </w:rPr>
      </w:pPr>
      <w:r>
        <w:rPr>
          <w:rFonts w:cs="Times New Roman"/>
          <w:b/>
          <w:bCs/>
          <w:sz w:val="21"/>
          <w:szCs w:val="21"/>
        </w:rPr>
        <w:t>图1.4-1 技术路线图</w:t>
      </w:r>
    </w:p>
    <w:p>
      <w:pPr>
        <w:keepNext/>
        <w:keepLines/>
        <w:spacing w:before="156" w:beforeLines="50"/>
        <w:ind w:firstLine="0" w:firstLineChars="0"/>
        <w:jc w:val="left"/>
        <w:textAlignment w:val="baseline"/>
        <w:outlineLvl w:val="1"/>
        <w:rPr>
          <w:rFonts w:cs="Times New Roman"/>
          <w:b/>
          <w:szCs w:val="28"/>
        </w:rPr>
      </w:pPr>
      <w:bookmarkStart w:id="5" w:name="_Toc56103675"/>
      <w:r>
        <w:rPr>
          <w:rFonts w:cs="Times New Roman"/>
          <w:b/>
          <w:szCs w:val="28"/>
        </w:rPr>
        <w:t>1.5 编制依据</w:t>
      </w:r>
      <w:bookmarkEnd w:id="5"/>
    </w:p>
    <w:p>
      <w:pPr>
        <w:keepNext/>
        <w:keepLines/>
        <w:ind w:firstLine="0" w:firstLineChars="0"/>
        <w:outlineLvl w:val="2"/>
        <w:rPr>
          <w:rFonts w:cs="Times New Roman"/>
          <w:b/>
          <w:bCs/>
          <w:szCs w:val="28"/>
        </w:rPr>
      </w:pPr>
      <w:bookmarkStart w:id="6" w:name="_Toc56103676"/>
      <w:r>
        <w:rPr>
          <w:rFonts w:cs="Times New Roman"/>
          <w:b/>
          <w:bCs/>
          <w:szCs w:val="28"/>
        </w:rPr>
        <w:t>1.5.1 法律、法规</w:t>
      </w:r>
      <w:bookmarkEnd w:id="6"/>
    </w:p>
    <w:p>
      <w:pPr>
        <w:ind w:firstLine="560"/>
        <w:rPr>
          <w:rFonts w:cs="Times New Roman"/>
          <w:szCs w:val="20"/>
        </w:rPr>
      </w:pPr>
      <w:r>
        <w:rPr>
          <w:rFonts w:cs="Times New Roman"/>
          <w:szCs w:val="20"/>
        </w:rPr>
        <w:t>（1）《中华人民共和国水法》（2016年修订）；</w:t>
      </w:r>
    </w:p>
    <w:p>
      <w:pPr>
        <w:ind w:firstLine="560"/>
        <w:rPr>
          <w:rFonts w:cs="Times New Roman"/>
          <w:szCs w:val="20"/>
        </w:rPr>
      </w:pPr>
      <w:r>
        <w:rPr>
          <w:rFonts w:cs="Times New Roman"/>
          <w:szCs w:val="20"/>
        </w:rPr>
        <w:t>（2）《中华人民共和国防洪法》（2016年修订）；</w:t>
      </w:r>
    </w:p>
    <w:p>
      <w:pPr>
        <w:ind w:firstLine="560"/>
        <w:rPr>
          <w:rFonts w:cs="Times New Roman"/>
          <w:szCs w:val="20"/>
        </w:rPr>
      </w:pPr>
      <w:r>
        <w:rPr>
          <w:rFonts w:cs="Times New Roman"/>
          <w:szCs w:val="20"/>
        </w:rPr>
        <w:t>（3）《中华人民共和国河道管理条例》（2018年修订）；</w:t>
      </w:r>
    </w:p>
    <w:p>
      <w:pPr>
        <w:ind w:firstLine="560"/>
        <w:rPr>
          <w:rFonts w:cs="Times New Roman"/>
          <w:szCs w:val="20"/>
        </w:rPr>
      </w:pPr>
      <w:r>
        <w:rPr>
          <w:rFonts w:cs="Times New Roman"/>
          <w:szCs w:val="20"/>
        </w:rPr>
        <w:t>（4）《广东省河道管理条例》（2019年）；</w:t>
      </w:r>
    </w:p>
    <w:p>
      <w:pPr>
        <w:ind w:firstLine="560"/>
        <w:rPr>
          <w:rFonts w:cs="Times New Roman"/>
          <w:szCs w:val="20"/>
        </w:rPr>
      </w:pPr>
      <w:r>
        <w:rPr>
          <w:rFonts w:cs="Times New Roman"/>
          <w:szCs w:val="20"/>
        </w:rPr>
        <w:t>（5）《广东省水利工程管理条例》（2014年）；</w:t>
      </w:r>
    </w:p>
    <w:p>
      <w:pPr>
        <w:ind w:firstLine="560"/>
        <w:rPr>
          <w:rFonts w:cs="Times New Roman"/>
          <w:szCs w:val="20"/>
        </w:rPr>
      </w:pPr>
      <w:r>
        <w:rPr>
          <w:rFonts w:cs="Times New Roman"/>
          <w:szCs w:val="20"/>
        </w:rPr>
        <w:t>（6）《广东省实施&lt;中华人民共和国水法&gt;办法》（2014年）。</w:t>
      </w:r>
    </w:p>
    <w:p>
      <w:pPr>
        <w:keepNext/>
        <w:keepLines/>
        <w:ind w:firstLine="0" w:firstLineChars="0"/>
        <w:outlineLvl w:val="2"/>
        <w:rPr>
          <w:rFonts w:cs="Times New Roman"/>
          <w:b/>
          <w:bCs/>
          <w:szCs w:val="28"/>
        </w:rPr>
      </w:pPr>
      <w:bookmarkStart w:id="7" w:name="_Toc56103677"/>
      <w:r>
        <w:rPr>
          <w:rFonts w:cs="Times New Roman"/>
          <w:b/>
          <w:bCs/>
          <w:szCs w:val="28"/>
        </w:rPr>
        <w:t>1.5.2 国家及行业标准、规范</w:t>
      </w:r>
      <w:bookmarkEnd w:id="7"/>
    </w:p>
    <w:p>
      <w:pPr>
        <w:ind w:firstLine="560"/>
        <w:rPr>
          <w:rFonts w:cs="Times New Roman"/>
          <w:szCs w:val="20"/>
        </w:rPr>
      </w:pPr>
      <w:r>
        <w:rPr>
          <w:rFonts w:cs="Times New Roman"/>
          <w:szCs w:val="20"/>
        </w:rPr>
        <w:t>（1）《堤防工程设计规范》（GB 50286-2013）；</w:t>
      </w:r>
    </w:p>
    <w:p>
      <w:pPr>
        <w:ind w:firstLine="560"/>
        <w:rPr>
          <w:rFonts w:cs="Times New Roman"/>
          <w:szCs w:val="20"/>
        </w:rPr>
      </w:pPr>
      <w:r>
        <w:rPr>
          <w:rFonts w:cs="Times New Roman"/>
          <w:szCs w:val="20"/>
        </w:rPr>
        <w:t>（2）《防洪标准》（GB/T 50201-2014）；</w:t>
      </w:r>
    </w:p>
    <w:p>
      <w:pPr>
        <w:ind w:firstLine="560"/>
        <w:rPr>
          <w:rFonts w:cs="Times New Roman"/>
          <w:szCs w:val="20"/>
        </w:rPr>
      </w:pPr>
      <w:r>
        <w:rPr>
          <w:rFonts w:cs="Times New Roman"/>
          <w:szCs w:val="20"/>
        </w:rPr>
        <w:t>（3）《测绘资质分级标准》（国测管发〔2014〕31 号修订版）；</w:t>
      </w:r>
    </w:p>
    <w:p>
      <w:pPr>
        <w:ind w:firstLine="560"/>
        <w:rPr>
          <w:rFonts w:cs="Times New Roman"/>
          <w:szCs w:val="20"/>
        </w:rPr>
      </w:pPr>
      <w:r>
        <w:rPr>
          <w:rFonts w:cs="Times New Roman"/>
          <w:szCs w:val="20"/>
        </w:rPr>
        <w:t>（4）《广东省河湖管理范围划定技术指引（试行）》；</w:t>
      </w:r>
    </w:p>
    <w:p>
      <w:pPr>
        <w:ind w:firstLine="560"/>
        <w:rPr>
          <w:rFonts w:cs="Times New Roman"/>
          <w:szCs w:val="20"/>
        </w:rPr>
      </w:pPr>
      <w:r>
        <w:rPr>
          <w:rFonts w:cs="Times New Roman"/>
          <w:szCs w:val="20"/>
        </w:rPr>
        <w:t>（5）《广东省河湖及水利工程界桩、标示牌技术标准》（粤水建管函〔2016〕1292 号）；</w:t>
      </w:r>
    </w:p>
    <w:p>
      <w:pPr>
        <w:ind w:firstLine="560"/>
        <w:rPr>
          <w:rFonts w:cs="Times New Roman"/>
          <w:szCs w:val="20"/>
        </w:rPr>
      </w:pPr>
      <w:r>
        <w:rPr>
          <w:rFonts w:cs="Times New Roman"/>
          <w:szCs w:val="20"/>
        </w:rPr>
        <w:t>（6）《水利水电工程测量规范》（SL197-2013）。</w:t>
      </w:r>
    </w:p>
    <w:p>
      <w:pPr>
        <w:keepNext/>
        <w:keepLines/>
        <w:ind w:firstLine="0" w:firstLineChars="0"/>
        <w:outlineLvl w:val="2"/>
        <w:rPr>
          <w:rFonts w:cs="Times New Roman"/>
          <w:b/>
          <w:bCs/>
          <w:szCs w:val="28"/>
        </w:rPr>
      </w:pPr>
      <w:bookmarkStart w:id="8" w:name="_Toc56103678"/>
      <w:r>
        <w:rPr>
          <w:rFonts w:cs="Times New Roman"/>
          <w:b/>
          <w:bCs/>
          <w:szCs w:val="28"/>
        </w:rPr>
        <w:t>1.5.3 技术依据</w:t>
      </w:r>
      <w:bookmarkEnd w:id="8"/>
    </w:p>
    <w:p>
      <w:pPr>
        <w:ind w:firstLine="560"/>
        <w:rPr>
          <w:rFonts w:cs="Times New Roman"/>
        </w:rPr>
      </w:pPr>
      <w:r>
        <w:rPr>
          <w:rFonts w:cs="Times New Roman"/>
        </w:rPr>
        <w:t>（1）《中国河流名称代码》（SL249-1999）；-</w:t>
      </w:r>
    </w:p>
    <w:p>
      <w:pPr>
        <w:ind w:firstLine="560"/>
        <w:rPr>
          <w:rFonts w:cs="Times New Roman"/>
        </w:rPr>
      </w:pPr>
      <w:r>
        <w:rPr>
          <w:rFonts w:cs="Times New Roman"/>
        </w:rPr>
        <w:t>（2）《中国湖泊名称代码》（SL261-98）；</w:t>
      </w:r>
    </w:p>
    <w:p>
      <w:pPr>
        <w:ind w:firstLine="560"/>
        <w:rPr>
          <w:rFonts w:cs="Times New Roman"/>
        </w:rPr>
      </w:pPr>
      <w:r>
        <w:rPr>
          <w:rFonts w:cs="Times New Roman"/>
        </w:rPr>
        <w:t>（3）《中国水库名称代码》（SL259-2000）；</w:t>
      </w:r>
    </w:p>
    <w:p>
      <w:pPr>
        <w:ind w:firstLine="560"/>
        <w:rPr>
          <w:rFonts w:cs="Times New Roman"/>
        </w:rPr>
      </w:pPr>
      <w:r>
        <w:rPr>
          <w:rFonts w:cs="Times New Roman"/>
        </w:rPr>
        <w:t>（4）《中国水闸名称代码》（SL262-2000）；</w:t>
      </w:r>
    </w:p>
    <w:p>
      <w:pPr>
        <w:ind w:firstLine="560"/>
        <w:rPr>
          <w:rFonts w:cs="Times New Roman"/>
        </w:rPr>
      </w:pPr>
      <w:r>
        <w:rPr>
          <w:rFonts w:cs="Times New Roman"/>
        </w:rPr>
        <w:t>（5）《水利水电工程等级划分及洪水标准》（SL252-2017）；</w:t>
      </w:r>
    </w:p>
    <w:p>
      <w:pPr>
        <w:ind w:firstLine="560"/>
        <w:rPr>
          <w:rFonts w:cs="Times New Roman"/>
        </w:rPr>
      </w:pPr>
      <w:r>
        <w:rPr>
          <w:rFonts w:cs="Times New Roman"/>
        </w:rPr>
        <w:t>（6）《水库工程管理设计规范》（SL106-2017）；</w:t>
      </w:r>
    </w:p>
    <w:p>
      <w:pPr>
        <w:ind w:firstLine="560"/>
        <w:rPr>
          <w:rFonts w:cs="Times New Roman"/>
        </w:rPr>
      </w:pPr>
      <w:r>
        <w:rPr>
          <w:rFonts w:cs="Times New Roman"/>
        </w:rPr>
        <w:t>（7）《堤防工程设计规范》（B50286-2013）；</w:t>
      </w:r>
    </w:p>
    <w:p>
      <w:pPr>
        <w:ind w:firstLine="560"/>
        <w:rPr>
          <w:rFonts w:cs="Times New Roman"/>
        </w:rPr>
      </w:pPr>
      <w:r>
        <w:rPr>
          <w:rFonts w:cs="Times New Roman"/>
        </w:rPr>
        <w:t>（8）《堤防工程管理设计规范》（SL171-96）；</w:t>
      </w:r>
    </w:p>
    <w:p>
      <w:pPr>
        <w:ind w:firstLine="560"/>
        <w:rPr>
          <w:rFonts w:cs="Times New Roman"/>
        </w:rPr>
      </w:pPr>
      <w:r>
        <w:rPr>
          <w:rFonts w:cs="Times New Roman"/>
        </w:rPr>
        <w:t>（9）《水闸工程管理设计规范》（SL170-96）；</w:t>
      </w:r>
    </w:p>
    <w:p>
      <w:pPr>
        <w:ind w:firstLine="560"/>
        <w:rPr>
          <w:rFonts w:cs="Times New Roman"/>
        </w:rPr>
      </w:pPr>
      <w:r>
        <w:rPr>
          <w:rFonts w:cs="Times New Roman"/>
        </w:rPr>
        <w:t>（10）《泵站设计规范》（GB50265-2010）；</w:t>
      </w:r>
    </w:p>
    <w:p>
      <w:pPr>
        <w:ind w:firstLine="560"/>
        <w:rPr>
          <w:rFonts w:cs="Times New Roman"/>
        </w:rPr>
      </w:pPr>
      <w:r>
        <w:rPr>
          <w:rFonts w:cs="Times New Roman"/>
        </w:rPr>
        <w:t>（11）《全球定位系统（GPS）测量规范》（GB-T-18314-2009）；</w:t>
      </w:r>
    </w:p>
    <w:p>
      <w:pPr>
        <w:ind w:firstLine="560"/>
        <w:rPr>
          <w:rFonts w:cs="Times New Roman"/>
        </w:rPr>
      </w:pPr>
      <w:r>
        <w:rPr>
          <w:rFonts w:cs="Times New Roman"/>
        </w:rPr>
        <w:t>（12）《城市测量规范》（CJJ/T8-2011）；</w:t>
      </w:r>
    </w:p>
    <w:p>
      <w:pPr>
        <w:ind w:firstLine="560"/>
        <w:rPr>
          <w:rFonts w:cs="Times New Roman"/>
        </w:rPr>
      </w:pPr>
      <w:r>
        <w:rPr>
          <w:rFonts w:cs="Times New Roman"/>
        </w:rPr>
        <w:t>（13）《国家三、四等水准测量规范》（GB/T12898-2009）；</w:t>
      </w:r>
    </w:p>
    <w:p>
      <w:pPr>
        <w:ind w:firstLine="560"/>
        <w:rPr>
          <w:rFonts w:cs="Times New Roman"/>
        </w:rPr>
      </w:pPr>
      <w:r>
        <w:rPr>
          <w:rFonts w:cs="Times New Roman"/>
        </w:rPr>
        <w:t>（14）第一次全国水利普查的相关成果。</w:t>
      </w:r>
    </w:p>
    <w:p>
      <w:pPr>
        <w:keepNext/>
        <w:keepLines/>
        <w:ind w:firstLine="0" w:firstLineChars="0"/>
        <w:outlineLvl w:val="2"/>
        <w:rPr>
          <w:rFonts w:cs="Times New Roman"/>
          <w:b/>
          <w:bCs/>
          <w:szCs w:val="28"/>
        </w:rPr>
      </w:pPr>
      <w:bookmarkStart w:id="9" w:name="_Toc56103679"/>
      <w:r>
        <w:rPr>
          <w:rFonts w:cs="Times New Roman"/>
          <w:b/>
          <w:bCs/>
          <w:szCs w:val="28"/>
        </w:rPr>
        <w:t>1.5.4 相关文件</w:t>
      </w:r>
      <w:bookmarkEnd w:id="9"/>
    </w:p>
    <w:p>
      <w:pPr>
        <w:ind w:firstLine="560"/>
        <w:rPr>
          <w:rFonts w:cs="Times New Roman"/>
          <w:szCs w:val="20"/>
        </w:rPr>
      </w:pPr>
      <w:r>
        <w:rPr>
          <w:rFonts w:cs="Times New Roman"/>
          <w:szCs w:val="20"/>
        </w:rPr>
        <w:t>（1）《中共广东省委办公厅广东省人民政府办公厅关于印发&lt;广东省全面推行河长制工作方案&gt;的通知》（粤委办〔2017〕42号）；</w:t>
      </w:r>
    </w:p>
    <w:p>
      <w:pPr>
        <w:ind w:firstLine="560"/>
        <w:rPr>
          <w:rFonts w:cs="Times New Roman"/>
          <w:szCs w:val="20"/>
        </w:rPr>
      </w:pPr>
      <w:r>
        <w:rPr>
          <w:rFonts w:cs="Times New Roman"/>
          <w:szCs w:val="20"/>
        </w:rPr>
        <w:t>（2）《水利部关于开展河湖管理范围和水利工程管理与保护范围划定工作的通知》（水建管〔2014〕285号）；</w:t>
      </w:r>
    </w:p>
    <w:p>
      <w:pPr>
        <w:ind w:firstLine="560"/>
        <w:rPr>
          <w:rFonts w:cs="Times New Roman"/>
          <w:szCs w:val="20"/>
        </w:rPr>
      </w:pPr>
      <w:r>
        <w:rPr>
          <w:rFonts w:cs="Times New Roman"/>
          <w:szCs w:val="20"/>
        </w:rPr>
        <w:t>（3）《水利部关于加快推进河湖管理范围划定工作的通知》（水河湖〔2018〕314号）；</w:t>
      </w:r>
    </w:p>
    <w:p>
      <w:pPr>
        <w:ind w:firstLine="560"/>
        <w:rPr>
          <w:rFonts w:cs="Times New Roman"/>
          <w:szCs w:val="20"/>
        </w:rPr>
      </w:pPr>
      <w:r>
        <w:rPr>
          <w:rFonts w:cs="Times New Roman"/>
          <w:szCs w:val="20"/>
        </w:rPr>
        <w:t>（4）</w:t>
      </w:r>
      <w:r>
        <w:rPr>
          <w:rFonts w:cs="Times New Roman"/>
          <w:szCs w:val="28"/>
        </w:rPr>
        <w:t>《广东省水利厅关于切实做好河湖管理范围和水利工程管理与保护范围划界确权工作的通知》（粤水建管</w:t>
      </w:r>
      <w:r>
        <w:rPr>
          <w:rFonts w:cs="Times New Roman"/>
          <w:szCs w:val="20"/>
        </w:rPr>
        <w:t>〔</w:t>
      </w:r>
      <w:r>
        <w:rPr>
          <w:rFonts w:cs="Times New Roman"/>
          <w:szCs w:val="28"/>
        </w:rPr>
        <w:t>2015</w:t>
      </w:r>
      <w:r>
        <w:rPr>
          <w:rFonts w:cs="Times New Roman"/>
          <w:szCs w:val="20"/>
        </w:rPr>
        <w:t>〕</w:t>
      </w:r>
      <w:r>
        <w:rPr>
          <w:rFonts w:cs="Times New Roman"/>
          <w:szCs w:val="28"/>
        </w:rPr>
        <w:t>45号）；</w:t>
      </w:r>
    </w:p>
    <w:p>
      <w:pPr>
        <w:ind w:firstLine="560"/>
        <w:rPr>
          <w:rFonts w:cs="Times New Roman"/>
          <w:szCs w:val="20"/>
        </w:rPr>
      </w:pPr>
      <w:r>
        <w:rPr>
          <w:rFonts w:cs="Times New Roman"/>
          <w:szCs w:val="20"/>
        </w:rPr>
        <w:t>（5）《广东省水利厅关于落实全面推行河长制进一步加快推进河湖管理范围和水利工程管理与保护范围划界确权工作的通知》（粤水建管〔2017〕38 号）；</w:t>
      </w:r>
    </w:p>
    <w:p>
      <w:pPr>
        <w:ind w:firstLine="560"/>
        <w:rPr>
          <w:rFonts w:cs="Times New Roman"/>
          <w:szCs w:val="28"/>
        </w:rPr>
      </w:pPr>
      <w:r>
        <w:rPr>
          <w:rFonts w:cs="Times New Roman"/>
          <w:szCs w:val="20"/>
        </w:rPr>
        <w:t>（6）</w:t>
      </w:r>
      <w:r>
        <w:rPr>
          <w:rFonts w:cs="Times New Roman"/>
          <w:szCs w:val="28"/>
        </w:rPr>
        <w:t>《广东省全面推行河长制工作领导小组关于加快推进河湖管理范围划定工作的通知》（粤河长组</w:t>
      </w:r>
      <w:r>
        <w:rPr>
          <w:rFonts w:cs="Times New Roman"/>
          <w:szCs w:val="20"/>
        </w:rPr>
        <w:t>〔</w:t>
      </w:r>
      <w:r>
        <w:rPr>
          <w:rFonts w:cs="Times New Roman"/>
          <w:szCs w:val="28"/>
        </w:rPr>
        <w:t>2019</w:t>
      </w:r>
      <w:r>
        <w:rPr>
          <w:rFonts w:cs="Times New Roman"/>
          <w:szCs w:val="20"/>
        </w:rPr>
        <w:t>〕</w:t>
      </w:r>
      <w:r>
        <w:rPr>
          <w:rFonts w:cs="Times New Roman"/>
          <w:szCs w:val="28"/>
        </w:rPr>
        <w:t>1号）；</w:t>
      </w:r>
    </w:p>
    <w:p>
      <w:pPr>
        <w:ind w:firstLine="560"/>
        <w:rPr>
          <w:rFonts w:cs="Times New Roman"/>
          <w:szCs w:val="28"/>
        </w:rPr>
      </w:pPr>
      <w:r>
        <w:rPr>
          <w:rFonts w:cs="Times New Roman"/>
          <w:szCs w:val="28"/>
        </w:rPr>
        <w:t>（7）广东省水利厅《关于进一步加快河湖管理范围划定工作的通知》（粤水河湖</w:t>
      </w:r>
      <w:r>
        <w:rPr>
          <w:rFonts w:cs="Times New Roman"/>
          <w:szCs w:val="20"/>
        </w:rPr>
        <w:t>〔</w:t>
      </w:r>
      <w:r>
        <w:rPr>
          <w:rFonts w:cs="Times New Roman"/>
          <w:szCs w:val="28"/>
        </w:rPr>
        <w:t>2019</w:t>
      </w:r>
      <w:r>
        <w:rPr>
          <w:rFonts w:cs="Times New Roman"/>
          <w:szCs w:val="20"/>
        </w:rPr>
        <w:t>〕</w:t>
      </w:r>
      <w:r>
        <w:rPr>
          <w:rFonts w:cs="Times New Roman"/>
          <w:szCs w:val="28"/>
        </w:rPr>
        <w:t>15号）；</w:t>
      </w:r>
    </w:p>
    <w:p>
      <w:pPr>
        <w:ind w:firstLine="560"/>
        <w:rPr>
          <w:rFonts w:cs="Times New Roman"/>
          <w:szCs w:val="28"/>
        </w:rPr>
      </w:pPr>
      <w:r>
        <w:rPr>
          <w:rFonts w:cs="Times New Roman"/>
          <w:szCs w:val="28"/>
        </w:rPr>
        <w:t>（8）《</w:t>
      </w:r>
      <w:r>
        <w:rPr>
          <w:rFonts w:hint="eastAsia" w:cs="Times New Roman"/>
          <w:bCs/>
          <w:szCs w:val="28"/>
        </w:rPr>
        <w:t>汕尾市华侨管理区港仔溪治理工程初步设计报告</w:t>
      </w:r>
      <w:r>
        <w:rPr>
          <w:rFonts w:cs="Times New Roman"/>
          <w:szCs w:val="28"/>
        </w:rPr>
        <w:t>》</w:t>
      </w:r>
      <w:r>
        <w:rPr>
          <w:rFonts w:hint="eastAsia" w:cs="Times New Roman"/>
          <w:szCs w:val="28"/>
        </w:rPr>
        <w:t>。</w:t>
      </w:r>
    </w:p>
    <w:p>
      <w:pPr>
        <w:keepNext/>
        <w:keepLines/>
        <w:ind w:firstLine="0" w:firstLineChars="0"/>
        <w:outlineLvl w:val="2"/>
        <w:rPr>
          <w:rFonts w:cs="Times New Roman"/>
          <w:b/>
          <w:bCs/>
          <w:szCs w:val="28"/>
        </w:rPr>
      </w:pPr>
      <w:bookmarkStart w:id="10" w:name="_Toc56103680"/>
      <w:r>
        <w:rPr>
          <w:rFonts w:cs="Times New Roman"/>
          <w:b/>
          <w:bCs/>
          <w:szCs w:val="28"/>
        </w:rPr>
        <w:t>1.5.5 地形资料</w:t>
      </w:r>
      <w:bookmarkEnd w:id="10"/>
    </w:p>
    <w:p>
      <w:pPr>
        <w:ind w:firstLine="560"/>
        <w:rPr>
          <w:rFonts w:cs="Times New Roman"/>
          <w:szCs w:val="20"/>
        </w:rPr>
      </w:pPr>
      <w:r>
        <w:rPr>
          <w:rFonts w:cs="Times New Roman"/>
          <w:szCs w:val="20"/>
        </w:rPr>
        <w:t>本次</w:t>
      </w:r>
      <w:r>
        <w:rPr>
          <w:rFonts w:hint="eastAsia" w:cs="Times New Roman"/>
          <w:bCs/>
          <w:szCs w:val="28"/>
        </w:rPr>
        <w:t>汕尾市华侨管理区港仔溪</w:t>
      </w:r>
      <w:r>
        <w:rPr>
          <w:rFonts w:cs="Times New Roman"/>
          <w:szCs w:val="20"/>
        </w:rPr>
        <w:t>河湖管理范围划定地形资料采用的是</w:t>
      </w:r>
      <w:r>
        <w:rPr>
          <w:rFonts w:hint="eastAsia" w:cs="Times New Roman"/>
          <w:szCs w:val="20"/>
        </w:rPr>
        <w:t>汕尾市水利水电建筑工程勘测设计室</w:t>
      </w:r>
      <w:r>
        <w:rPr>
          <w:rFonts w:cs="Times New Roman"/>
          <w:szCs w:val="20"/>
        </w:rPr>
        <w:t>2018年所作《</w:t>
      </w:r>
      <w:r>
        <w:rPr>
          <w:rFonts w:hint="eastAsia" w:cs="Times New Roman"/>
          <w:bCs/>
          <w:szCs w:val="20"/>
        </w:rPr>
        <w:t>汕尾市华侨管理区港仔溪治理工程初步设计报告</w:t>
      </w:r>
      <w:r>
        <w:rPr>
          <w:rFonts w:cs="Times New Roman"/>
          <w:szCs w:val="20"/>
        </w:rPr>
        <w:t>》1</w:t>
      </w:r>
      <w:r>
        <w:rPr>
          <w:rFonts w:hint="eastAsia" w:ascii="宋体" w:hAnsi="宋体" w:cs="宋体"/>
        </w:rPr>
        <w:t>∶</w:t>
      </w:r>
      <w:r>
        <w:rPr>
          <w:rFonts w:cs="Times New Roman"/>
          <w:szCs w:val="20"/>
        </w:rPr>
        <w:t>1000河道地形图，原坐标系统为1980年西安坐标系，高程系统为珠基高程基准。经相关测量单位实地复测并进行坐标系统转换后，现坐标系统为2000国家大地坐标系（CGCS2000），高程系统为1985国家高程基准。</w:t>
      </w:r>
      <w:bookmarkStart w:id="11" w:name="_Hlk27213797"/>
      <w:r>
        <w:rPr>
          <w:rFonts w:cs="Times New Roman"/>
          <w:szCs w:val="20"/>
        </w:rPr>
        <w:t>划界采用的高清遥感影像底图</w:t>
      </w:r>
      <w:r>
        <w:rPr>
          <w:rFonts w:cs="Times New Roman"/>
        </w:rPr>
        <w:t>来源于广东省</w:t>
      </w:r>
      <w:r>
        <w:rPr>
          <w:rFonts w:cs="Times New Roman"/>
          <w:szCs w:val="20"/>
        </w:rPr>
        <w:t>自然资源厅，</w:t>
      </w:r>
      <w:bookmarkEnd w:id="11"/>
      <w:r>
        <w:rPr>
          <w:rFonts w:cs="Times New Roman"/>
          <w:szCs w:val="20"/>
        </w:rPr>
        <w:t>空间分辨率为1m×1m。</w:t>
      </w:r>
    </w:p>
    <w:p>
      <w:pPr>
        <w:widowControl/>
        <w:spacing w:line="240" w:lineRule="auto"/>
        <w:ind w:firstLine="560" w:firstLineChars="0"/>
        <w:jc w:val="left"/>
        <w:rPr>
          <w:rFonts w:cs="Times New Roman"/>
          <w:szCs w:val="20"/>
        </w:rPr>
      </w:pPr>
    </w:p>
    <w:p>
      <w:pPr>
        <w:keepNext/>
        <w:keepLines/>
        <w:spacing w:before="120" w:after="120"/>
        <w:ind w:firstLine="0" w:firstLineChars="0"/>
        <w:jc w:val="left"/>
        <w:textAlignment w:val="baseline"/>
        <w:outlineLvl w:val="0"/>
        <w:rPr>
          <w:rFonts w:cs="Times New Roman"/>
          <w:b/>
          <w:kern w:val="44"/>
          <w:sz w:val="32"/>
          <w:szCs w:val="20"/>
        </w:rPr>
        <w:sectPr>
          <w:footerReference r:id="rId16" w:type="default"/>
          <w:pgSz w:w="11906" w:h="16838"/>
          <w:pgMar w:top="1440" w:right="1418" w:bottom="1440" w:left="1418" w:header="851" w:footer="992" w:gutter="0"/>
          <w:pgNumType w:start="1"/>
          <w:cols w:space="720" w:num="1"/>
          <w:docGrid w:type="lines" w:linePitch="312" w:charSpace="0"/>
        </w:sectPr>
      </w:pPr>
    </w:p>
    <w:p>
      <w:pPr>
        <w:keepNext/>
        <w:keepLines/>
        <w:spacing w:before="120" w:after="120"/>
        <w:ind w:firstLine="0" w:firstLineChars="0"/>
        <w:jc w:val="left"/>
        <w:textAlignment w:val="baseline"/>
        <w:outlineLvl w:val="0"/>
        <w:rPr>
          <w:rFonts w:cs="Times New Roman"/>
          <w:b/>
          <w:kern w:val="44"/>
          <w:sz w:val="32"/>
          <w:szCs w:val="20"/>
        </w:rPr>
      </w:pPr>
      <w:bookmarkStart w:id="12" w:name="_Toc56103681"/>
      <w:r>
        <w:rPr>
          <w:rFonts w:cs="Times New Roman"/>
          <w:b/>
          <w:kern w:val="44"/>
          <w:sz w:val="32"/>
          <w:szCs w:val="20"/>
        </w:rPr>
        <w:t>2 基本情况</w:t>
      </w:r>
      <w:bookmarkEnd w:id="12"/>
    </w:p>
    <w:p>
      <w:pPr>
        <w:keepNext/>
        <w:keepLines/>
        <w:spacing w:before="156" w:beforeLines="50"/>
        <w:ind w:firstLine="0" w:firstLineChars="0"/>
        <w:jc w:val="left"/>
        <w:textAlignment w:val="baseline"/>
        <w:outlineLvl w:val="1"/>
        <w:rPr>
          <w:rFonts w:cs="Times New Roman"/>
          <w:b/>
          <w:szCs w:val="28"/>
        </w:rPr>
      </w:pPr>
      <w:bookmarkStart w:id="13" w:name="_Toc56103682"/>
      <w:r>
        <w:rPr>
          <w:rFonts w:cs="Times New Roman"/>
          <w:b/>
          <w:szCs w:val="28"/>
        </w:rPr>
        <w:t>2.1 河湖概况</w:t>
      </w:r>
      <w:bookmarkEnd w:id="13"/>
    </w:p>
    <w:p>
      <w:pPr>
        <w:keepNext/>
        <w:keepLines/>
        <w:ind w:firstLine="0" w:firstLineChars="0"/>
        <w:outlineLvl w:val="2"/>
        <w:rPr>
          <w:rFonts w:cs="Times New Roman"/>
          <w:b/>
          <w:bCs/>
          <w:szCs w:val="28"/>
        </w:rPr>
      </w:pPr>
      <w:bookmarkStart w:id="14" w:name="_Toc56103683"/>
      <w:r>
        <w:rPr>
          <w:rFonts w:cs="Times New Roman"/>
          <w:b/>
          <w:bCs/>
          <w:szCs w:val="28"/>
        </w:rPr>
        <w:t>2.1.1 社会经济</w:t>
      </w:r>
      <w:bookmarkEnd w:id="14"/>
    </w:p>
    <w:p>
      <w:pPr>
        <w:ind w:firstLine="560"/>
        <w:rPr>
          <w:rFonts w:cs="Times New Roman"/>
        </w:rPr>
      </w:pPr>
      <w:r>
        <w:rPr>
          <w:rFonts w:hint="eastAsia" w:cs="Times New Roman"/>
        </w:rPr>
        <w:t>汕尾市华侨管理区地处汕尾市东南部，北纬23.5°，东经115.8°，总面积32km</w:t>
      </w:r>
      <w:r>
        <w:rPr>
          <w:rFonts w:hint="eastAsia" w:cs="Times New Roman"/>
          <w:vertAlign w:val="superscript"/>
        </w:rPr>
        <w:t>2</w:t>
      </w:r>
      <w:r>
        <w:rPr>
          <w:rFonts w:hint="eastAsia" w:cs="Times New Roman"/>
        </w:rPr>
        <w:t>；广汕公路、深汕高速公路、厦深铁路横穿境内，交通十分方便。下辖</w:t>
      </w:r>
      <w:r>
        <w:rPr>
          <w:rFonts w:hint="eastAsia" w:cs="Times New Roman"/>
          <w:color w:val="000000" w:themeColor="text1"/>
          <w:lang w:eastAsia="zh-CN"/>
          <w14:textFill>
            <w14:solidFill>
              <w14:schemeClr w14:val="tx1"/>
            </w14:solidFill>
          </w14:textFill>
        </w:rPr>
        <w:t>侨兴街道</w:t>
      </w:r>
      <w:r>
        <w:rPr>
          <w:rFonts w:hint="eastAsia" w:cs="Times New Roman"/>
          <w:color w:val="000000" w:themeColor="text1"/>
          <w:lang w:val="en-US" w:eastAsia="zh-CN"/>
          <w14:textFill>
            <w14:solidFill>
              <w14:schemeClr w14:val="tx1"/>
            </w14:solidFill>
          </w14:textFill>
        </w:rPr>
        <w:t>1</w:t>
      </w:r>
      <w:r>
        <w:rPr>
          <w:rFonts w:hint="eastAsia" w:cs="Times New Roman"/>
          <w:color w:val="000000" w:themeColor="text1"/>
          <w14:textFill>
            <w14:solidFill>
              <w14:schemeClr w14:val="tx1"/>
            </w14:solidFill>
          </w14:textFill>
        </w:rPr>
        <w:t>个办事处，9个村（居）委会，16个村民小组，户籍总人口1.</w:t>
      </w:r>
      <w:r>
        <w:rPr>
          <w:rFonts w:hint="eastAsia" w:cs="Times New Roman"/>
          <w:color w:val="000000" w:themeColor="text1"/>
          <w:lang w:val="en-US" w:eastAsia="zh-CN"/>
          <w14:textFill>
            <w14:solidFill>
              <w14:schemeClr w14:val="tx1"/>
            </w14:solidFill>
          </w14:textFill>
        </w:rPr>
        <w:t>98</w:t>
      </w:r>
      <w:r>
        <w:rPr>
          <w:rFonts w:hint="eastAsia" w:cs="Times New Roman"/>
          <w:color w:val="000000" w:themeColor="text1"/>
          <w14:textFill>
            <w14:solidFill>
              <w14:schemeClr w14:val="tx1"/>
            </w14:solidFill>
          </w14:textFill>
        </w:rPr>
        <w:t>万人</w:t>
      </w:r>
      <w:r>
        <w:rPr>
          <w:rFonts w:hint="eastAsia" w:cs="Times New Roman"/>
        </w:rPr>
        <w:t>。</w:t>
      </w:r>
    </w:p>
    <w:p>
      <w:pPr>
        <w:ind w:firstLine="560"/>
        <w:rPr>
          <w:rFonts w:cs="Times New Roman"/>
        </w:rPr>
      </w:pPr>
      <w:r>
        <w:rPr>
          <w:rFonts w:hint="eastAsia" w:cs="Times New Roman"/>
        </w:rPr>
        <w:t>华侨管理区主要经济来源是靠农业，是一个工业欠发达地区。据统计2014年全区GDP为22157万元，比增6.5%。其中：第一产业增加值5762万元，比增4.0%；第二产业增加值2694万元，比增9.5%；第三产业增加值13701万元，比增6.8%。全社会消费品零售总额12146万元，比增9.5%。新增社会固定资产投资3523万元，比增19.7%。</w:t>
      </w:r>
    </w:p>
    <w:p>
      <w:pPr>
        <w:keepNext/>
        <w:keepLines/>
        <w:ind w:firstLine="0" w:firstLineChars="0"/>
        <w:outlineLvl w:val="2"/>
        <w:rPr>
          <w:rFonts w:cs="Times New Roman"/>
          <w:b/>
          <w:bCs/>
          <w:szCs w:val="28"/>
        </w:rPr>
      </w:pPr>
      <w:bookmarkStart w:id="15" w:name="_Toc56103684"/>
      <w:r>
        <w:rPr>
          <w:rFonts w:cs="Times New Roman"/>
          <w:b/>
          <w:bCs/>
          <w:szCs w:val="28"/>
        </w:rPr>
        <w:t>2.1.2 河流水系</w:t>
      </w:r>
      <w:bookmarkEnd w:id="15"/>
    </w:p>
    <w:p>
      <w:pPr>
        <w:ind w:firstLine="560"/>
        <w:rPr>
          <w:rFonts w:cs="Times New Roman"/>
          <w:szCs w:val="20"/>
        </w:rPr>
      </w:pPr>
      <w:r>
        <w:rPr>
          <w:rFonts w:hint="eastAsia" w:cs="Times New Roman"/>
          <w:szCs w:val="20"/>
        </w:rPr>
        <w:t>港仔溪是流经华侨管理区的主要河流，它发源于虎石山，流经西岭矿场、桥头埔、西岭肚、奎池、新屯寮、老屯寮、官兜、田心洋、东港圩、金鸡塔新村和后旗等村庄，在大陂村附近汇入鳌江，属于鳌江支流。</w:t>
      </w:r>
    </w:p>
    <w:p>
      <w:pPr>
        <w:ind w:firstLine="560"/>
        <w:rPr>
          <w:rFonts w:cs="Times New Roman"/>
          <w:szCs w:val="20"/>
        </w:rPr>
      </w:pPr>
      <w:r>
        <w:rPr>
          <w:rFonts w:hint="eastAsia" w:cs="Times New Roman"/>
          <w:szCs w:val="20"/>
        </w:rPr>
        <w:t>港仔溪全流域控制面积54.35km</w:t>
      </w:r>
      <w:r>
        <w:rPr>
          <w:rFonts w:hint="eastAsia" w:cs="Times New Roman"/>
          <w:szCs w:val="20"/>
          <w:vertAlign w:val="superscript"/>
        </w:rPr>
        <w:t>2</w:t>
      </w:r>
      <w:r>
        <w:rPr>
          <w:rFonts w:hint="eastAsia" w:cs="Times New Roman"/>
          <w:szCs w:val="20"/>
        </w:rPr>
        <w:t>，河流全长约16.774km，河流坡降0.0017，其中华侨管理区段长约</w:t>
      </w:r>
      <w:r>
        <w:rPr>
          <w:rFonts w:cs="Times New Roman"/>
          <w:color w:val="000000" w:themeColor="text1"/>
          <w:szCs w:val="28"/>
          <w14:textFill>
            <w14:solidFill>
              <w14:schemeClr w14:val="tx1"/>
            </w14:solidFill>
          </w14:textFill>
        </w:rPr>
        <w:t>4.783km</w:t>
      </w:r>
      <w:r>
        <w:rPr>
          <w:rFonts w:hint="eastAsia" w:cs="Times New Roman"/>
          <w:szCs w:val="20"/>
        </w:rPr>
        <w:t>。本流域属丘陵地貌，地形起伏较大，高程从两百多米到几米不等。工程区域内植被覆盖率较高，水土流失轻微。流域水系图见图2</w:t>
      </w:r>
      <w:r>
        <w:rPr>
          <w:rFonts w:cs="Times New Roman"/>
          <w:szCs w:val="20"/>
        </w:rPr>
        <w:t>.1</w:t>
      </w:r>
      <w:r>
        <w:rPr>
          <w:rFonts w:hint="eastAsia" w:cs="Times New Roman"/>
          <w:szCs w:val="20"/>
        </w:rPr>
        <w:t>-1所示。流域内无中型以上水库枢纽，有金斗水库（小型）、天子隙水库（小型）、南仔尾水库（小型）；龙潭灌渠从流域内穿过。流域附近有龙潭水库（大型）、巷口水库（中型）、尖山水库（小型）等。</w:t>
      </w:r>
    </w:p>
    <w:p>
      <w:pPr>
        <w:ind w:firstLine="0" w:firstLineChars="0"/>
        <w:jc w:val="center"/>
        <w:rPr>
          <w:rFonts w:cs="Times New Roman"/>
          <w:b/>
          <w:sz w:val="24"/>
          <w:szCs w:val="21"/>
        </w:rPr>
      </w:pPr>
      <w:r>
        <w:rPr>
          <w:rFonts w:hint="eastAsia" w:cs="Times New Roman"/>
          <w:b/>
          <w:sz w:val="24"/>
          <w:szCs w:val="21"/>
        </w:rPr>
        <w:t>图2</w:t>
      </w:r>
      <w:r>
        <w:rPr>
          <w:rFonts w:cs="Times New Roman"/>
          <w:b/>
          <w:sz w:val="24"/>
          <w:szCs w:val="21"/>
        </w:rPr>
        <w:t>.1</w:t>
      </w:r>
      <w:r>
        <w:rPr>
          <w:rFonts w:hint="eastAsia" w:cs="Times New Roman"/>
          <w:b/>
          <w:sz w:val="24"/>
          <w:szCs w:val="21"/>
        </w:rPr>
        <w:t>-1</w:t>
      </w:r>
      <w:r>
        <w:rPr>
          <w:rFonts w:cs="Times New Roman"/>
          <w:b/>
          <w:sz w:val="24"/>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44450</wp:posOffset>
            </wp:positionV>
            <wp:extent cx="5759450" cy="6034405"/>
            <wp:effectExtent l="0" t="0" r="0" b="444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9450" cy="6034405"/>
                    </a:xfrm>
                    <a:prstGeom prst="rect">
                      <a:avLst/>
                    </a:prstGeom>
                    <a:noFill/>
                    <a:ln>
                      <a:noFill/>
                    </a:ln>
                  </pic:spPr>
                </pic:pic>
              </a:graphicData>
            </a:graphic>
          </wp:anchor>
        </w:drawing>
      </w:r>
      <w:r>
        <w:rPr>
          <w:rFonts w:cs="Times New Roman"/>
          <w:b/>
          <w:sz w:val="24"/>
          <w:szCs w:val="21"/>
        </w:rPr>
        <w:t xml:space="preserve"> </w:t>
      </w:r>
      <w:r>
        <w:rPr>
          <w:rFonts w:hint="eastAsia" w:cs="Times New Roman"/>
          <w:b/>
          <w:sz w:val="24"/>
          <w:szCs w:val="21"/>
        </w:rPr>
        <w:t>鳌江（港仔溪）流域水系图</w:t>
      </w:r>
    </w:p>
    <w:p>
      <w:pPr>
        <w:ind w:firstLine="560"/>
        <w:rPr>
          <w:rFonts w:cs="Times New Roman"/>
          <w:szCs w:val="20"/>
        </w:rPr>
      </w:pPr>
    </w:p>
    <w:p>
      <w:pPr>
        <w:keepNext/>
        <w:keepLines/>
        <w:ind w:firstLine="0" w:firstLineChars="0"/>
        <w:outlineLvl w:val="2"/>
        <w:rPr>
          <w:rFonts w:cs="Times New Roman"/>
          <w:b/>
          <w:bCs/>
          <w:szCs w:val="28"/>
        </w:rPr>
      </w:pPr>
      <w:bookmarkStart w:id="16" w:name="_Toc56103685"/>
      <w:r>
        <w:rPr>
          <w:rFonts w:cs="Times New Roman"/>
          <w:b/>
          <w:bCs/>
          <w:szCs w:val="28"/>
        </w:rPr>
        <w:t>2.1.3 水文气象</w:t>
      </w:r>
      <w:bookmarkEnd w:id="16"/>
    </w:p>
    <w:p>
      <w:pPr>
        <w:ind w:firstLine="560"/>
        <w:rPr>
          <w:rFonts w:cs="Times New Roman"/>
          <w:szCs w:val="20"/>
        </w:rPr>
      </w:pPr>
      <w:r>
        <w:rPr>
          <w:rFonts w:hint="eastAsia" w:cs="Times New Roman"/>
          <w:szCs w:val="20"/>
        </w:rPr>
        <w:t>本次河湖划界流域内未设置气象台站，大部分的气象资料由陆丰市气象站提供。该气象站位于螺河流域陆丰市市区金碣路，观测的项目有降水、气温、风向、风速等，观测成果齐全可靠。</w:t>
      </w:r>
    </w:p>
    <w:p>
      <w:pPr>
        <w:pStyle w:val="48"/>
        <w:numPr>
          <w:ilvl w:val="0"/>
          <w:numId w:val="2"/>
        </w:numPr>
        <w:ind w:firstLineChars="0"/>
        <w:rPr>
          <w:rFonts w:cs="Times New Roman"/>
          <w:szCs w:val="20"/>
        </w:rPr>
      </w:pPr>
      <w:r>
        <w:rPr>
          <w:rFonts w:cs="Times New Roman"/>
          <w:szCs w:val="20"/>
        </w:rPr>
        <w:t>气温</w:t>
      </w:r>
    </w:p>
    <w:p>
      <w:pPr>
        <w:ind w:firstLine="560"/>
        <w:rPr>
          <w:rFonts w:cs="Times New Roman"/>
          <w:szCs w:val="20"/>
        </w:rPr>
      </w:pPr>
      <w:r>
        <w:rPr>
          <w:rFonts w:hint="eastAsia" w:cs="Times New Roman"/>
          <w:szCs w:val="20"/>
        </w:rPr>
        <w:t>根据陆丰气象站提供的统计资料，该地区多年平均气温为22.3℃；极端最高气温37.8℃，出现于1962年8月1日；极端最低气温0.9℃，出现于1967年1月17日</w:t>
      </w:r>
      <w:r>
        <w:rPr>
          <w:rFonts w:cs="Times New Roman"/>
          <w:szCs w:val="20"/>
        </w:rPr>
        <w:t>。</w:t>
      </w:r>
    </w:p>
    <w:p>
      <w:pPr>
        <w:pStyle w:val="48"/>
        <w:numPr>
          <w:ilvl w:val="0"/>
          <w:numId w:val="2"/>
        </w:numPr>
        <w:ind w:firstLineChars="0"/>
        <w:rPr>
          <w:rFonts w:cs="Times New Roman"/>
          <w:szCs w:val="20"/>
        </w:rPr>
      </w:pPr>
      <w:r>
        <w:rPr>
          <w:rFonts w:cs="Times New Roman"/>
          <w:szCs w:val="20"/>
        </w:rPr>
        <w:t>降水</w:t>
      </w:r>
    </w:p>
    <w:p>
      <w:pPr>
        <w:ind w:firstLine="560"/>
        <w:rPr>
          <w:rFonts w:cs="Times New Roman"/>
          <w:b/>
          <w:bCs/>
          <w:sz w:val="21"/>
          <w:szCs w:val="21"/>
        </w:rPr>
      </w:pPr>
      <w:r>
        <w:rPr>
          <w:rFonts w:hint="eastAsia" w:cs="Times New Roman"/>
          <w:szCs w:val="20"/>
        </w:rPr>
        <w:t>区域降水以锋面雨和台风台雨为主，汛期4～9月的降水量占全年降水量的85%，10～3月占全年的15%</w:t>
      </w:r>
      <w:r>
        <w:rPr>
          <w:rFonts w:cs="Times New Roman"/>
          <w:szCs w:val="20"/>
        </w:rPr>
        <w:t>。</w:t>
      </w:r>
    </w:p>
    <w:p>
      <w:pPr>
        <w:pStyle w:val="48"/>
        <w:numPr>
          <w:ilvl w:val="0"/>
          <w:numId w:val="2"/>
        </w:numPr>
        <w:ind w:firstLineChars="0"/>
        <w:rPr>
          <w:rFonts w:cs="Times New Roman"/>
          <w:szCs w:val="20"/>
        </w:rPr>
      </w:pPr>
      <w:r>
        <w:rPr>
          <w:rFonts w:hint="eastAsia" w:cs="Times New Roman"/>
          <w:szCs w:val="20"/>
        </w:rPr>
        <w:t>风</w:t>
      </w:r>
    </w:p>
    <w:p>
      <w:pPr>
        <w:ind w:firstLine="560"/>
        <w:rPr>
          <w:rFonts w:cs="Times New Roman"/>
          <w:szCs w:val="20"/>
        </w:rPr>
      </w:pPr>
      <w:r>
        <w:rPr>
          <w:rFonts w:hint="eastAsia" w:cs="Times New Roman"/>
          <w:szCs w:val="20"/>
        </w:rPr>
        <w:t>本流域属南亚热带季风区，气候温和、雨量充沛。春夏多东南风，秋冬偏北风居多。风力一般为2～5级。据陆丰气象站统计资料表明，年最大瞬时风速为大于40m</w:t>
      </w:r>
      <w:r>
        <w:rPr>
          <w:rFonts w:cs="Times New Roman"/>
          <w:szCs w:val="20"/>
          <w:vertAlign w:val="superscript"/>
        </w:rPr>
        <w:t>3</w:t>
      </w:r>
      <w:r>
        <w:rPr>
          <w:rFonts w:hint="eastAsia" w:cs="Times New Roman"/>
          <w:szCs w:val="20"/>
        </w:rPr>
        <w:t>/s（风向为SE、NW），年最大10min平均风速为25m/s（风向为W）。根据陆丰市气象站提供的1959～1988年共30年观测资料，得出历年各方位（风向）年最大10min平均风速如表2.2-1所示。</w:t>
      </w:r>
    </w:p>
    <w:p>
      <w:pPr>
        <w:ind w:firstLine="0" w:firstLineChars="0"/>
        <w:jc w:val="center"/>
        <w:rPr>
          <w:rFonts w:cs="Times New Roman"/>
          <w:b/>
          <w:sz w:val="24"/>
          <w:szCs w:val="21"/>
        </w:rPr>
      </w:pPr>
      <w:r>
        <w:rPr>
          <w:rFonts w:cs="Times New Roman"/>
          <w:b/>
          <w:sz w:val="24"/>
          <w:szCs w:val="21"/>
        </w:rPr>
        <w:t xml:space="preserve">表2.1-1  </w:t>
      </w:r>
      <w:r>
        <w:rPr>
          <w:rFonts w:cs="Times New Roman"/>
          <w:b/>
          <w:bCs/>
          <w:sz w:val="24"/>
          <w:szCs w:val="21"/>
        </w:rPr>
        <w:t>陆丰市气象站历年各方位（风向）风速统计结果表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601"/>
        <w:gridCol w:w="1761"/>
        <w:gridCol w:w="1281"/>
        <w:gridCol w:w="1920"/>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4" w:type="pct"/>
            <w:vMerge w:val="restart"/>
            <w:vAlign w:val="center"/>
          </w:tcPr>
          <w:p>
            <w:pPr>
              <w:spacing w:line="240" w:lineRule="auto"/>
              <w:ind w:firstLine="0" w:firstLineChars="0"/>
              <w:jc w:val="center"/>
              <w:rPr>
                <w:rFonts w:cs="Times New Roman"/>
                <w:sz w:val="21"/>
                <w:szCs w:val="21"/>
              </w:rPr>
            </w:pPr>
            <w:r>
              <w:rPr>
                <w:rFonts w:cs="Times New Roman"/>
                <w:sz w:val="21"/>
                <w:szCs w:val="21"/>
              </w:rPr>
              <w:t>方位</w:t>
            </w:r>
          </w:p>
        </w:tc>
        <w:tc>
          <w:tcPr>
            <w:tcW w:w="1810" w:type="pct"/>
            <w:gridSpan w:val="2"/>
            <w:vAlign w:val="center"/>
          </w:tcPr>
          <w:p>
            <w:pPr>
              <w:spacing w:line="240" w:lineRule="auto"/>
              <w:ind w:firstLine="0" w:firstLineChars="0"/>
              <w:jc w:val="center"/>
              <w:rPr>
                <w:rFonts w:cs="Times New Roman"/>
                <w:sz w:val="21"/>
                <w:szCs w:val="21"/>
              </w:rPr>
            </w:pPr>
            <w:r>
              <w:rPr>
                <w:rFonts w:cs="Times New Roman"/>
                <w:sz w:val="21"/>
                <w:szCs w:val="21"/>
              </w:rPr>
              <w:t>多年平均值(m/s)</w:t>
            </w:r>
          </w:p>
        </w:tc>
        <w:tc>
          <w:tcPr>
            <w:tcW w:w="690" w:type="pct"/>
            <w:vMerge w:val="restart"/>
            <w:vAlign w:val="center"/>
          </w:tcPr>
          <w:p>
            <w:pPr>
              <w:spacing w:line="240" w:lineRule="auto"/>
              <w:ind w:firstLine="0" w:firstLineChars="0"/>
              <w:jc w:val="center"/>
              <w:rPr>
                <w:rFonts w:cs="Times New Roman"/>
                <w:sz w:val="21"/>
                <w:szCs w:val="21"/>
              </w:rPr>
            </w:pPr>
            <w:r>
              <w:rPr>
                <w:rFonts w:cs="Times New Roman"/>
                <w:sz w:val="21"/>
                <w:szCs w:val="21"/>
              </w:rPr>
              <w:t>方位</w:t>
            </w:r>
          </w:p>
        </w:tc>
        <w:tc>
          <w:tcPr>
            <w:tcW w:w="1897" w:type="pct"/>
            <w:gridSpan w:val="2"/>
            <w:vAlign w:val="center"/>
          </w:tcPr>
          <w:p>
            <w:pPr>
              <w:spacing w:line="240" w:lineRule="auto"/>
              <w:ind w:firstLine="0" w:firstLineChars="0"/>
              <w:jc w:val="center"/>
              <w:rPr>
                <w:rFonts w:cs="Times New Roman"/>
                <w:sz w:val="21"/>
                <w:szCs w:val="21"/>
              </w:rPr>
            </w:pPr>
            <w:r>
              <w:rPr>
                <w:rFonts w:cs="Times New Roman"/>
                <w:sz w:val="21"/>
                <w:szCs w:val="21"/>
              </w:rPr>
              <w:t>多年平均值(m/s)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4" w:type="pct"/>
            <w:vMerge w:val="continue"/>
            <w:vAlign w:val="center"/>
          </w:tcPr>
          <w:p>
            <w:pPr>
              <w:spacing w:line="240" w:lineRule="auto"/>
              <w:ind w:firstLine="0" w:firstLineChars="0"/>
              <w:jc w:val="center"/>
              <w:rPr>
                <w:rFonts w:cs="Times New Roman"/>
                <w:sz w:val="21"/>
                <w:szCs w:val="21"/>
              </w:rPr>
            </w:pP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年最大</w:t>
            </w:r>
          </w:p>
          <w:p>
            <w:pPr>
              <w:spacing w:line="240" w:lineRule="auto"/>
              <w:ind w:firstLine="0" w:firstLineChars="0"/>
              <w:jc w:val="center"/>
              <w:rPr>
                <w:rFonts w:cs="Times New Roman"/>
                <w:sz w:val="21"/>
                <w:szCs w:val="21"/>
              </w:rPr>
            </w:pPr>
            <w:r>
              <w:rPr>
                <w:rFonts w:cs="Times New Roman"/>
                <w:sz w:val="21"/>
                <w:szCs w:val="21"/>
              </w:rPr>
              <w:t>瞬时风速</w:t>
            </w:r>
          </w:p>
        </w:tc>
        <w:tc>
          <w:tcPr>
            <w:tcW w:w="948" w:type="pct"/>
            <w:vAlign w:val="center"/>
          </w:tcPr>
          <w:p>
            <w:pPr>
              <w:spacing w:line="240" w:lineRule="auto"/>
              <w:ind w:firstLine="0" w:firstLineChars="0"/>
              <w:jc w:val="center"/>
              <w:rPr>
                <w:rFonts w:cs="Times New Roman"/>
                <w:sz w:val="21"/>
                <w:szCs w:val="21"/>
              </w:rPr>
            </w:pPr>
            <w:r>
              <w:rPr>
                <w:rFonts w:cs="Times New Roman"/>
                <w:sz w:val="21"/>
                <w:szCs w:val="21"/>
              </w:rPr>
              <w:t>最大10min</w:t>
            </w:r>
          </w:p>
          <w:p>
            <w:pPr>
              <w:spacing w:line="240" w:lineRule="auto"/>
              <w:ind w:firstLine="0" w:firstLineChars="0"/>
              <w:jc w:val="center"/>
              <w:rPr>
                <w:rFonts w:cs="Times New Roman"/>
                <w:sz w:val="21"/>
                <w:szCs w:val="21"/>
              </w:rPr>
            </w:pPr>
            <w:r>
              <w:rPr>
                <w:rFonts w:cs="Times New Roman"/>
                <w:sz w:val="21"/>
                <w:szCs w:val="21"/>
              </w:rPr>
              <w:t>平均风速</w:t>
            </w:r>
          </w:p>
        </w:tc>
        <w:tc>
          <w:tcPr>
            <w:tcW w:w="690" w:type="pct"/>
            <w:vMerge w:val="continue"/>
            <w:vAlign w:val="center"/>
          </w:tcPr>
          <w:p>
            <w:pPr>
              <w:spacing w:line="240" w:lineRule="auto"/>
              <w:ind w:firstLine="0" w:firstLineChars="0"/>
              <w:jc w:val="center"/>
              <w:rPr>
                <w:rFonts w:cs="Times New Roman"/>
                <w:sz w:val="21"/>
                <w:szCs w:val="21"/>
              </w:rPr>
            </w:pPr>
          </w:p>
        </w:tc>
        <w:tc>
          <w:tcPr>
            <w:tcW w:w="1034" w:type="pct"/>
            <w:vAlign w:val="center"/>
          </w:tcPr>
          <w:p>
            <w:pPr>
              <w:spacing w:line="240" w:lineRule="auto"/>
              <w:ind w:firstLine="0" w:firstLineChars="0"/>
              <w:jc w:val="center"/>
              <w:rPr>
                <w:rFonts w:cs="Times New Roman"/>
                <w:sz w:val="21"/>
                <w:szCs w:val="21"/>
              </w:rPr>
            </w:pPr>
            <w:r>
              <w:rPr>
                <w:rFonts w:cs="Times New Roman"/>
                <w:sz w:val="21"/>
                <w:szCs w:val="21"/>
              </w:rPr>
              <w:t>年最大</w:t>
            </w:r>
          </w:p>
          <w:p>
            <w:pPr>
              <w:spacing w:line="240" w:lineRule="auto"/>
              <w:ind w:firstLine="0" w:firstLineChars="0"/>
              <w:jc w:val="center"/>
              <w:rPr>
                <w:rFonts w:cs="Times New Roman"/>
                <w:sz w:val="21"/>
                <w:szCs w:val="21"/>
              </w:rPr>
            </w:pPr>
            <w:r>
              <w:rPr>
                <w:rFonts w:cs="Times New Roman"/>
                <w:sz w:val="21"/>
                <w:szCs w:val="21"/>
              </w:rPr>
              <w:t>瞬时风速</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最大10min平均风速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spacing w:line="240" w:lineRule="auto"/>
              <w:ind w:firstLine="0" w:firstLineChars="0"/>
              <w:jc w:val="center"/>
              <w:rPr>
                <w:rFonts w:cs="Times New Roman"/>
                <w:sz w:val="21"/>
                <w:szCs w:val="21"/>
              </w:rPr>
            </w:pPr>
            <w:r>
              <w:rPr>
                <w:rFonts w:cs="Times New Roman"/>
                <w:sz w:val="21"/>
                <w:szCs w:val="21"/>
              </w:rPr>
              <w:t>N</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13.5</w:t>
            </w:r>
          </w:p>
        </w:tc>
        <w:tc>
          <w:tcPr>
            <w:tcW w:w="948" w:type="pct"/>
            <w:vAlign w:val="center"/>
          </w:tcPr>
          <w:p>
            <w:pPr>
              <w:spacing w:line="240" w:lineRule="auto"/>
              <w:ind w:firstLine="0" w:firstLineChars="0"/>
              <w:jc w:val="center"/>
              <w:rPr>
                <w:rFonts w:cs="Times New Roman"/>
                <w:sz w:val="21"/>
                <w:szCs w:val="21"/>
              </w:rPr>
            </w:pPr>
            <w:r>
              <w:rPr>
                <w:rFonts w:cs="Times New Roman"/>
                <w:sz w:val="21"/>
                <w:szCs w:val="21"/>
              </w:rPr>
              <w:t>10.0</w:t>
            </w:r>
          </w:p>
        </w:tc>
        <w:tc>
          <w:tcPr>
            <w:tcW w:w="690" w:type="pct"/>
            <w:vAlign w:val="center"/>
          </w:tcPr>
          <w:p>
            <w:pPr>
              <w:spacing w:line="240" w:lineRule="auto"/>
              <w:ind w:firstLine="0" w:firstLineChars="0"/>
              <w:jc w:val="center"/>
              <w:rPr>
                <w:rFonts w:cs="Times New Roman"/>
                <w:sz w:val="21"/>
                <w:szCs w:val="21"/>
              </w:rPr>
            </w:pPr>
            <w:r>
              <w:rPr>
                <w:rFonts w:cs="Times New Roman"/>
                <w:sz w:val="21"/>
                <w:szCs w:val="21"/>
              </w:rPr>
              <w:t>S</w:t>
            </w:r>
          </w:p>
        </w:tc>
        <w:tc>
          <w:tcPr>
            <w:tcW w:w="1034" w:type="pct"/>
            <w:vAlign w:val="center"/>
          </w:tcPr>
          <w:p>
            <w:pPr>
              <w:spacing w:line="240" w:lineRule="auto"/>
              <w:ind w:firstLine="0" w:firstLineChars="0"/>
              <w:jc w:val="center"/>
              <w:rPr>
                <w:rFonts w:cs="Times New Roman"/>
                <w:sz w:val="21"/>
                <w:szCs w:val="21"/>
              </w:rPr>
            </w:pPr>
            <w:r>
              <w:rPr>
                <w:rFonts w:cs="Times New Roman"/>
                <w:sz w:val="21"/>
                <w:szCs w:val="21"/>
              </w:rPr>
              <w:t>14.5</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spacing w:line="240" w:lineRule="auto"/>
              <w:ind w:firstLine="0" w:firstLineChars="0"/>
              <w:jc w:val="center"/>
              <w:rPr>
                <w:rFonts w:cs="Times New Roman"/>
                <w:sz w:val="21"/>
                <w:szCs w:val="21"/>
              </w:rPr>
            </w:pPr>
            <w:r>
              <w:rPr>
                <w:rFonts w:cs="Times New Roman"/>
                <w:sz w:val="21"/>
                <w:szCs w:val="21"/>
              </w:rPr>
              <w:t>NE</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17.4</w:t>
            </w:r>
          </w:p>
        </w:tc>
        <w:tc>
          <w:tcPr>
            <w:tcW w:w="948" w:type="pct"/>
            <w:vAlign w:val="center"/>
          </w:tcPr>
          <w:p>
            <w:pPr>
              <w:spacing w:line="240" w:lineRule="auto"/>
              <w:ind w:firstLine="0" w:firstLineChars="0"/>
              <w:jc w:val="center"/>
              <w:rPr>
                <w:rFonts w:cs="Times New Roman"/>
                <w:sz w:val="21"/>
                <w:szCs w:val="21"/>
              </w:rPr>
            </w:pPr>
            <w:r>
              <w:rPr>
                <w:rFonts w:cs="Times New Roman"/>
                <w:sz w:val="21"/>
                <w:szCs w:val="21"/>
              </w:rPr>
              <w:t>10.9</w:t>
            </w:r>
          </w:p>
        </w:tc>
        <w:tc>
          <w:tcPr>
            <w:tcW w:w="690" w:type="pct"/>
            <w:vAlign w:val="center"/>
          </w:tcPr>
          <w:p>
            <w:pPr>
              <w:spacing w:line="240" w:lineRule="auto"/>
              <w:ind w:firstLine="0" w:firstLineChars="0"/>
              <w:jc w:val="center"/>
              <w:rPr>
                <w:rFonts w:cs="Times New Roman"/>
                <w:sz w:val="21"/>
                <w:szCs w:val="21"/>
              </w:rPr>
            </w:pPr>
            <w:r>
              <w:rPr>
                <w:rFonts w:cs="Times New Roman"/>
                <w:sz w:val="21"/>
                <w:szCs w:val="21"/>
              </w:rPr>
              <w:t>SW</w:t>
            </w:r>
          </w:p>
        </w:tc>
        <w:tc>
          <w:tcPr>
            <w:tcW w:w="1034" w:type="pct"/>
            <w:vAlign w:val="center"/>
          </w:tcPr>
          <w:p>
            <w:pPr>
              <w:spacing w:line="240" w:lineRule="auto"/>
              <w:ind w:firstLine="0" w:firstLineChars="0"/>
              <w:jc w:val="center"/>
              <w:rPr>
                <w:rFonts w:cs="Times New Roman"/>
                <w:sz w:val="21"/>
                <w:szCs w:val="21"/>
              </w:rPr>
            </w:pPr>
            <w:r>
              <w:rPr>
                <w:rFonts w:cs="Times New Roman"/>
                <w:sz w:val="21"/>
                <w:szCs w:val="21"/>
              </w:rPr>
              <w:t>10.8</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spacing w:line="240" w:lineRule="auto"/>
              <w:ind w:firstLine="0" w:firstLineChars="0"/>
              <w:jc w:val="center"/>
              <w:rPr>
                <w:rFonts w:cs="Times New Roman"/>
                <w:sz w:val="21"/>
                <w:szCs w:val="21"/>
              </w:rPr>
            </w:pPr>
            <w:r>
              <w:rPr>
                <w:rFonts w:cs="Times New Roman"/>
                <w:sz w:val="21"/>
                <w:szCs w:val="21"/>
              </w:rPr>
              <w:t>E</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18.1</w:t>
            </w:r>
          </w:p>
        </w:tc>
        <w:tc>
          <w:tcPr>
            <w:tcW w:w="948" w:type="pct"/>
            <w:vAlign w:val="center"/>
          </w:tcPr>
          <w:p>
            <w:pPr>
              <w:spacing w:line="240" w:lineRule="auto"/>
              <w:ind w:firstLine="0" w:firstLineChars="0"/>
              <w:jc w:val="center"/>
              <w:rPr>
                <w:rFonts w:cs="Times New Roman"/>
                <w:sz w:val="21"/>
                <w:szCs w:val="21"/>
              </w:rPr>
            </w:pPr>
            <w:r>
              <w:rPr>
                <w:rFonts w:cs="Times New Roman"/>
                <w:sz w:val="21"/>
                <w:szCs w:val="21"/>
              </w:rPr>
              <w:t>13.8</w:t>
            </w:r>
          </w:p>
        </w:tc>
        <w:tc>
          <w:tcPr>
            <w:tcW w:w="690" w:type="pct"/>
            <w:vAlign w:val="center"/>
          </w:tcPr>
          <w:p>
            <w:pPr>
              <w:spacing w:line="240" w:lineRule="auto"/>
              <w:ind w:firstLine="0" w:firstLineChars="0"/>
              <w:jc w:val="center"/>
              <w:rPr>
                <w:rFonts w:cs="Times New Roman"/>
                <w:sz w:val="21"/>
                <w:szCs w:val="21"/>
              </w:rPr>
            </w:pPr>
            <w:r>
              <w:rPr>
                <w:rFonts w:cs="Times New Roman"/>
                <w:sz w:val="21"/>
                <w:szCs w:val="21"/>
              </w:rPr>
              <w:t>W</w:t>
            </w:r>
          </w:p>
        </w:tc>
        <w:tc>
          <w:tcPr>
            <w:tcW w:w="1034" w:type="pct"/>
            <w:vAlign w:val="center"/>
          </w:tcPr>
          <w:p>
            <w:pPr>
              <w:spacing w:line="240" w:lineRule="auto"/>
              <w:ind w:firstLine="0" w:firstLineChars="0"/>
              <w:jc w:val="center"/>
              <w:rPr>
                <w:rFonts w:cs="Times New Roman"/>
                <w:sz w:val="21"/>
                <w:szCs w:val="21"/>
              </w:rPr>
            </w:pPr>
            <w:r>
              <w:rPr>
                <w:rFonts w:cs="Times New Roman"/>
                <w:sz w:val="21"/>
                <w:szCs w:val="21"/>
              </w:rPr>
              <w:t>11.6</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pPr>
              <w:spacing w:line="240" w:lineRule="auto"/>
              <w:ind w:firstLine="0" w:firstLineChars="0"/>
              <w:jc w:val="center"/>
              <w:rPr>
                <w:rFonts w:cs="Times New Roman"/>
                <w:sz w:val="21"/>
                <w:szCs w:val="21"/>
              </w:rPr>
            </w:pPr>
            <w:r>
              <w:rPr>
                <w:rFonts w:cs="Times New Roman"/>
                <w:sz w:val="21"/>
                <w:szCs w:val="21"/>
              </w:rPr>
              <w:t>SE</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17.2</w:t>
            </w:r>
          </w:p>
        </w:tc>
        <w:tc>
          <w:tcPr>
            <w:tcW w:w="948" w:type="pct"/>
            <w:vAlign w:val="center"/>
          </w:tcPr>
          <w:p>
            <w:pPr>
              <w:spacing w:line="240" w:lineRule="auto"/>
              <w:ind w:firstLine="0" w:firstLineChars="0"/>
              <w:jc w:val="center"/>
              <w:rPr>
                <w:rFonts w:cs="Times New Roman"/>
                <w:sz w:val="21"/>
                <w:szCs w:val="21"/>
              </w:rPr>
            </w:pPr>
            <w:r>
              <w:rPr>
                <w:rFonts w:cs="Times New Roman"/>
                <w:sz w:val="21"/>
                <w:szCs w:val="21"/>
              </w:rPr>
              <w:t>11.6</w:t>
            </w:r>
          </w:p>
        </w:tc>
        <w:tc>
          <w:tcPr>
            <w:tcW w:w="690" w:type="pct"/>
            <w:vAlign w:val="center"/>
          </w:tcPr>
          <w:p>
            <w:pPr>
              <w:spacing w:line="240" w:lineRule="auto"/>
              <w:ind w:firstLine="0" w:firstLineChars="0"/>
              <w:jc w:val="center"/>
              <w:rPr>
                <w:rFonts w:cs="Times New Roman"/>
                <w:sz w:val="21"/>
                <w:szCs w:val="21"/>
              </w:rPr>
            </w:pPr>
            <w:r>
              <w:rPr>
                <w:rFonts w:cs="Times New Roman"/>
                <w:sz w:val="21"/>
                <w:szCs w:val="21"/>
              </w:rPr>
              <w:t>NW</w:t>
            </w:r>
          </w:p>
        </w:tc>
        <w:tc>
          <w:tcPr>
            <w:tcW w:w="1034" w:type="pct"/>
            <w:vAlign w:val="center"/>
          </w:tcPr>
          <w:p>
            <w:pPr>
              <w:spacing w:line="240" w:lineRule="auto"/>
              <w:ind w:firstLine="0" w:firstLineChars="0"/>
              <w:jc w:val="center"/>
              <w:rPr>
                <w:rFonts w:cs="Times New Roman"/>
                <w:sz w:val="21"/>
                <w:szCs w:val="21"/>
              </w:rPr>
            </w:pPr>
            <w:r>
              <w:rPr>
                <w:rFonts w:cs="Times New Roman"/>
                <w:sz w:val="21"/>
                <w:szCs w:val="21"/>
              </w:rPr>
              <w:t>14.9</w:t>
            </w:r>
          </w:p>
        </w:tc>
        <w:tc>
          <w:tcPr>
            <w:tcW w:w="862" w:type="pct"/>
            <w:vAlign w:val="center"/>
          </w:tcPr>
          <w:p>
            <w:pPr>
              <w:spacing w:line="240" w:lineRule="auto"/>
              <w:ind w:firstLine="0" w:firstLineChars="0"/>
              <w:jc w:val="center"/>
              <w:rPr>
                <w:rFonts w:cs="Times New Roman"/>
                <w:sz w:val="21"/>
                <w:szCs w:val="21"/>
              </w:rPr>
            </w:pPr>
            <w:r>
              <w:rPr>
                <w:rFonts w:cs="Times New Roman"/>
                <w:sz w:val="21"/>
                <w:szCs w:val="21"/>
              </w:rPr>
              <w:t>11.7</w:t>
            </w:r>
          </w:p>
        </w:tc>
      </w:tr>
    </w:tbl>
    <w:p>
      <w:pPr>
        <w:ind w:firstLine="560"/>
        <w:rPr>
          <w:rFonts w:cs="Times New Roman"/>
          <w:szCs w:val="20"/>
        </w:rPr>
      </w:pPr>
      <w:r>
        <w:rPr>
          <w:rFonts w:cs="Times New Roman"/>
          <w:szCs w:val="20"/>
        </w:rPr>
        <w:t>（4）</w:t>
      </w:r>
      <w:r>
        <w:rPr>
          <w:rFonts w:hint="eastAsia" w:cs="Times New Roman"/>
          <w:szCs w:val="20"/>
        </w:rPr>
        <w:t>蒸发</w:t>
      </w:r>
    </w:p>
    <w:p>
      <w:pPr>
        <w:ind w:firstLine="560"/>
        <w:rPr>
          <w:rFonts w:cs="Times New Roman"/>
          <w:szCs w:val="20"/>
        </w:rPr>
      </w:pPr>
      <w:r>
        <w:rPr>
          <w:rFonts w:hint="eastAsia" w:cs="Times New Roman"/>
          <w:szCs w:val="20"/>
        </w:rPr>
        <w:t>多年平均蒸发量为1570mm，最大年蒸发量2040mm（1963年），最小年蒸发量为1310mm（1975年）</w:t>
      </w:r>
      <w:r>
        <w:rPr>
          <w:rFonts w:cs="Times New Roman"/>
          <w:szCs w:val="20"/>
        </w:rPr>
        <w:t>。</w:t>
      </w:r>
    </w:p>
    <w:p>
      <w:pPr>
        <w:ind w:firstLine="560" w:firstLineChars="0"/>
        <w:rPr>
          <w:rFonts w:cs="Times New Roman"/>
          <w:szCs w:val="20"/>
        </w:rPr>
      </w:pPr>
      <w:r>
        <w:rPr>
          <w:rFonts w:hint="eastAsia" w:cs="Times New Roman"/>
          <w:szCs w:val="20"/>
        </w:rPr>
        <w:t>（5）水文基本资料</w:t>
      </w:r>
    </w:p>
    <w:p>
      <w:pPr>
        <w:ind w:firstLine="560"/>
      </w:pPr>
      <w:r>
        <w:t>本流域内未设水文站，在螺河流域下游附近设有蕉坑水文站，该站是汕尾市境内唯一的一个国家基本水文站，位于东经115º36´，北纬22º58´，控制集雨面积1104km</w:t>
      </w:r>
      <w:r>
        <w:rPr>
          <w:vertAlign w:val="superscript"/>
        </w:rPr>
        <w:t>2</w:t>
      </w:r>
      <w:r>
        <w:t>。此水文站位于螺河流域，距本工程直线距离约46.0km，隶属广东省水文总局。该站主要观测项目包括：水位、流量、含沙量、降雨量、蒸发量、气温、相对湿度、风向、风力、能见度、天气现象等，有1955年以来历年观测的水文资料。</w:t>
      </w:r>
    </w:p>
    <w:p>
      <w:pPr>
        <w:ind w:firstLine="560"/>
        <w:rPr>
          <w:lang w:val="zh-CN"/>
        </w:rPr>
      </w:pPr>
      <w:r>
        <w:t>蕉坑水文站资料整编按照国家水文测验规范和省水文局有关规定进行，执行随测算、随点绘、随整编、随分析工作制度。资料汇编工作先由水文站自行整编，每年年终后，送省水文总站，并对资料进行审查。</w:t>
      </w:r>
      <w:r>
        <w:rPr>
          <w:lang w:val="zh-CN" w:eastAsia="zh-CN"/>
        </w:rPr>
        <w:t>资料精度较高，可资引用。</w:t>
      </w:r>
    </w:p>
    <w:p>
      <w:pPr>
        <w:keepNext/>
        <w:keepLines/>
        <w:ind w:firstLine="0" w:firstLineChars="0"/>
        <w:outlineLvl w:val="2"/>
        <w:rPr>
          <w:rFonts w:cs="Times New Roman"/>
          <w:b/>
          <w:bCs/>
          <w:szCs w:val="28"/>
        </w:rPr>
      </w:pPr>
      <w:bookmarkStart w:id="17" w:name="_Toc56103686"/>
      <w:r>
        <w:rPr>
          <w:rFonts w:cs="Times New Roman"/>
          <w:b/>
          <w:bCs/>
          <w:szCs w:val="28"/>
        </w:rPr>
        <w:t xml:space="preserve">2.1.4 </w:t>
      </w:r>
      <w:r>
        <w:rPr>
          <w:rFonts w:hint="eastAsia" w:cs="Times New Roman"/>
          <w:b/>
          <w:bCs/>
          <w:szCs w:val="28"/>
        </w:rPr>
        <w:t>径流</w:t>
      </w:r>
      <w:bookmarkEnd w:id="17"/>
    </w:p>
    <w:p>
      <w:pPr>
        <w:ind w:firstLine="560"/>
        <w:rPr>
          <w:rFonts w:cs="Times New Roman"/>
        </w:rPr>
      </w:pPr>
      <w:r>
        <w:rPr>
          <w:rFonts w:hint="eastAsia"/>
          <w:lang w:val="zh-CN"/>
        </w:rPr>
        <w:t>本次河湖划界范围内的径流主要由降雨产生，径流时空分布与降雨相同。汛期（4</w:t>
      </w:r>
      <w:r>
        <w:rPr>
          <w:rFonts w:hint="eastAsia" w:cs="Times New Roman"/>
          <w:szCs w:val="20"/>
        </w:rPr>
        <w:t>～</w:t>
      </w:r>
      <w:r>
        <w:rPr>
          <w:rFonts w:hint="eastAsia"/>
          <w:lang w:val="zh-CN"/>
        </w:rPr>
        <w:t>9月）径流量大，约占全年径流总量的80%；枯水期（10</w:t>
      </w:r>
      <w:r>
        <w:rPr>
          <w:rFonts w:hint="eastAsia" w:cs="Times New Roman"/>
          <w:szCs w:val="20"/>
        </w:rPr>
        <w:t>～</w:t>
      </w:r>
      <w:r>
        <w:rPr>
          <w:rFonts w:hint="eastAsia"/>
          <w:lang w:val="zh-CN"/>
        </w:rPr>
        <w:t>3月）约占全年径流总量的20%。因均属小河流，水位涨落快，流域内无实测径流资料。根据《广东省水文图集》（广东省水文总站，2003年）查值得出本工程多年平均径流深为R=1200mm，年径流深变差系数C</w:t>
      </w:r>
      <w:r>
        <w:rPr>
          <w:rFonts w:hint="eastAsia"/>
          <w:vertAlign w:val="subscript"/>
          <w:lang w:val="zh-CN"/>
        </w:rPr>
        <w:t>V</w:t>
      </w:r>
      <w:r>
        <w:rPr>
          <w:rFonts w:hint="eastAsia"/>
          <w:lang w:val="zh-CN"/>
        </w:rPr>
        <w:t>=0.35，年径流深偏差系数C</w:t>
      </w:r>
      <w:r>
        <w:rPr>
          <w:rFonts w:hint="eastAsia"/>
          <w:vertAlign w:val="subscript"/>
          <w:lang w:val="zh-CN"/>
        </w:rPr>
        <w:t>S</w:t>
      </w:r>
      <w:r>
        <w:rPr>
          <w:rFonts w:hint="eastAsia"/>
          <w:lang w:val="zh-CN"/>
        </w:rPr>
        <w:t>=2.0C</w:t>
      </w:r>
      <w:r>
        <w:rPr>
          <w:rFonts w:hint="eastAsia"/>
          <w:vertAlign w:val="subscript"/>
          <w:lang w:val="zh-CN"/>
        </w:rPr>
        <w:t>V</w:t>
      </w:r>
      <w:r>
        <w:rPr>
          <w:rFonts w:hint="eastAsia" w:cs="Times New Roman"/>
        </w:rPr>
        <w:t>。</w:t>
      </w:r>
    </w:p>
    <w:p>
      <w:pPr>
        <w:keepNext/>
        <w:keepLines/>
        <w:ind w:firstLine="0" w:firstLineChars="0"/>
        <w:outlineLvl w:val="2"/>
        <w:rPr>
          <w:rFonts w:cs="Times New Roman"/>
          <w:b/>
          <w:bCs/>
          <w:szCs w:val="28"/>
        </w:rPr>
      </w:pPr>
      <w:bookmarkStart w:id="18" w:name="_Toc56103687"/>
      <w:r>
        <w:rPr>
          <w:rFonts w:cs="Times New Roman"/>
          <w:b/>
          <w:bCs/>
          <w:szCs w:val="28"/>
        </w:rPr>
        <w:t xml:space="preserve">2.1.4 </w:t>
      </w:r>
      <w:r>
        <w:rPr>
          <w:rFonts w:hint="eastAsia" w:cs="Times New Roman"/>
          <w:b/>
          <w:bCs/>
          <w:szCs w:val="28"/>
        </w:rPr>
        <w:t>地形地貌</w:t>
      </w:r>
      <w:bookmarkEnd w:id="18"/>
    </w:p>
    <w:p>
      <w:pPr>
        <w:tabs>
          <w:tab w:val="left" w:pos="1620"/>
        </w:tabs>
        <w:ind w:firstLine="560"/>
        <w:rPr>
          <w:rFonts w:hAnsi="宋体"/>
        </w:rPr>
      </w:pPr>
      <w:r>
        <w:rPr>
          <w:rFonts w:hAnsi="宋体"/>
        </w:rPr>
        <w:t>本区属我国东南沿海的丘陵</w:t>
      </w:r>
      <w:r>
        <w:rPr>
          <w:rFonts w:hint="eastAsia" w:hAnsi="宋体"/>
        </w:rPr>
        <w:t>平原</w:t>
      </w:r>
      <w:r>
        <w:rPr>
          <w:rFonts w:hAnsi="宋体"/>
        </w:rPr>
        <w:t>地带，地形起伏不平，并且频临南海，区内高程处于</w:t>
      </w:r>
      <w:r>
        <w:rPr>
          <w:rFonts w:hint="eastAsia" w:hAnsi="宋体"/>
        </w:rPr>
        <w:t>-5.0</w:t>
      </w:r>
      <w:r>
        <w:rPr>
          <w:rFonts w:hAnsi="宋体"/>
        </w:rPr>
        <w:t>～</w:t>
      </w:r>
      <w:r>
        <w:rPr>
          <w:rFonts w:hint="eastAsia" w:hAnsi="宋体"/>
        </w:rPr>
        <w:t>3</w:t>
      </w:r>
      <w:r>
        <w:rPr>
          <w:rFonts w:hAnsi="宋体"/>
        </w:rPr>
        <w:t>0.0m之间，</w:t>
      </w:r>
      <w:r>
        <w:rPr>
          <w:rFonts w:hint="eastAsia" w:hAnsi="宋体"/>
        </w:rPr>
        <w:t>西北部及东部</w:t>
      </w:r>
      <w:r>
        <w:rPr>
          <w:rFonts w:hAnsi="宋体"/>
        </w:rPr>
        <w:t>山峰</w:t>
      </w:r>
      <w:r>
        <w:rPr>
          <w:rFonts w:hint="eastAsia" w:hAnsi="宋体"/>
        </w:rPr>
        <w:t>高</w:t>
      </w:r>
      <w:r>
        <w:rPr>
          <w:rFonts w:hAnsi="宋体"/>
        </w:rPr>
        <w:t>达</w:t>
      </w:r>
      <w:r>
        <w:rPr>
          <w:rFonts w:hint="eastAsia" w:hAnsi="宋体"/>
        </w:rPr>
        <w:t>300</w:t>
      </w:r>
      <w:r>
        <w:rPr>
          <w:rFonts w:hAnsi="宋体"/>
        </w:rPr>
        <w:t>m。但总体地势是北高南低，</w:t>
      </w:r>
      <w:r>
        <w:rPr>
          <w:rFonts w:hint="eastAsia" w:hAnsi="宋体"/>
        </w:rPr>
        <w:t>西</w:t>
      </w:r>
      <w:r>
        <w:rPr>
          <w:rFonts w:hAnsi="宋体"/>
        </w:rPr>
        <w:t>北部</w:t>
      </w:r>
      <w:r>
        <w:rPr>
          <w:rFonts w:hint="eastAsia" w:hAnsi="宋体"/>
        </w:rPr>
        <w:t>山区</w:t>
      </w:r>
      <w:r>
        <w:rPr>
          <w:rFonts w:hAnsi="宋体"/>
        </w:rPr>
        <w:t>地貌部分是</w:t>
      </w:r>
      <w:r>
        <w:rPr>
          <w:rFonts w:hint="eastAsia" w:hAnsi="宋体"/>
        </w:rPr>
        <w:t>燕山侵入期的</w:t>
      </w:r>
      <w:r>
        <w:rPr>
          <w:rFonts w:hAnsi="宋体"/>
        </w:rPr>
        <w:t>花岗岩</w:t>
      </w:r>
      <w:r>
        <w:rPr>
          <w:rFonts w:hint="eastAsia" w:hAnsi="宋体"/>
        </w:rPr>
        <w:t>，局部为侏罗系下统金鸡群形成的砂岩、页岩组成</w:t>
      </w:r>
      <w:r>
        <w:rPr>
          <w:rFonts w:hAnsi="宋体"/>
        </w:rPr>
        <w:t>，南部地貌多是</w:t>
      </w:r>
      <w:r>
        <w:rPr>
          <w:rFonts w:hint="eastAsia" w:hAnsi="宋体"/>
        </w:rPr>
        <w:t>冲坡积平原</w:t>
      </w:r>
      <w:r>
        <w:rPr>
          <w:rFonts w:hAnsi="宋体"/>
        </w:rPr>
        <w:t>，高程</w:t>
      </w:r>
      <w:r>
        <w:rPr>
          <w:rFonts w:hint="eastAsia" w:hAnsi="宋体"/>
        </w:rPr>
        <w:t>-3.0</w:t>
      </w:r>
      <w:r>
        <w:rPr>
          <w:rFonts w:hAnsi="宋体"/>
        </w:rPr>
        <w:t>～</w:t>
      </w:r>
      <w:r>
        <w:rPr>
          <w:rFonts w:hint="eastAsia" w:hAnsi="宋体"/>
        </w:rPr>
        <w:t>20</w:t>
      </w:r>
      <w:r>
        <w:rPr>
          <w:rFonts w:hAnsi="宋体"/>
        </w:rPr>
        <w:t>m</w:t>
      </w:r>
      <w:r>
        <w:rPr>
          <w:rFonts w:hint="eastAsia" w:hAnsi="宋体"/>
        </w:rPr>
        <w:t>，局部分布残丘</w:t>
      </w:r>
      <w:r>
        <w:rPr>
          <w:rFonts w:hAnsi="宋体"/>
        </w:rPr>
        <w:t>。其地表的地形地貌的延伸方向都呈北</w:t>
      </w:r>
      <w:r>
        <w:rPr>
          <w:rFonts w:hint="eastAsia" w:hAnsi="宋体"/>
        </w:rPr>
        <w:t>西</w:t>
      </w:r>
      <w:r>
        <w:rPr>
          <w:rFonts w:hAnsi="宋体"/>
        </w:rPr>
        <w:t>向，与当地的地质构造和海潮水的流向协调相似。</w:t>
      </w:r>
    </w:p>
    <w:p>
      <w:pPr>
        <w:tabs>
          <w:tab w:val="left" w:pos="1620"/>
        </w:tabs>
        <w:ind w:firstLine="560"/>
        <w:rPr>
          <w:rFonts w:hAnsi="宋体"/>
        </w:rPr>
      </w:pPr>
      <w:r>
        <w:rPr>
          <w:rFonts w:hint="eastAsia" w:hAnsi="宋体"/>
        </w:rPr>
        <w:t>本区域为冲坡积而成的丘岭平原，多由冲、坡积土所覆盖，区域内以农业和养殖业为主，农田遍布，周边植被良好；工程区域内地势较为平坦，地面绝对高程集中在2～20</w:t>
      </w:r>
      <w:r>
        <w:rPr>
          <w:rFonts w:hAnsi="宋体"/>
        </w:rPr>
        <w:t>m</w:t>
      </w:r>
      <w:r>
        <w:rPr>
          <w:rFonts w:hint="eastAsia" w:hAnsi="宋体"/>
        </w:rPr>
        <w:t>之间。</w:t>
      </w:r>
    </w:p>
    <w:p>
      <w:pPr>
        <w:ind w:firstLine="560"/>
        <w:rPr>
          <w:rFonts w:cs="Times New Roman"/>
        </w:rPr>
      </w:pPr>
      <w:r>
        <w:rPr>
          <w:rFonts w:hint="eastAsia" w:hAnsi="宋体"/>
        </w:rPr>
        <w:t>区域地形属平原地形地貌，地势平缓，大部分植被发育良好，</w:t>
      </w:r>
      <w:r>
        <w:rPr>
          <w:rFonts w:hAnsi="宋体"/>
        </w:rPr>
        <w:t>未见有较大的滑坡等不良物理地质现象</w:t>
      </w:r>
      <w:r>
        <w:rPr>
          <w:rFonts w:hint="eastAsia" w:hAnsi="宋体"/>
        </w:rPr>
        <w:t>。</w:t>
      </w:r>
    </w:p>
    <w:p>
      <w:pPr>
        <w:keepNext/>
        <w:keepLines/>
        <w:ind w:firstLine="0" w:firstLineChars="0"/>
        <w:outlineLvl w:val="2"/>
        <w:rPr>
          <w:rFonts w:cs="Times New Roman"/>
          <w:b/>
          <w:bCs/>
          <w:szCs w:val="28"/>
        </w:rPr>
      </w:pPr>
      <w:bookmarkStart w:id="19" w:name="_Toc56103688"/>
      <w:r>
        <w:rPr>
          <w:rFonts w:cs="Times New Roman"/>
          <w:b/>
          <w:bCs/>
          <w:szCs w:val="28"/>
        </w:rPr>
        <w:t xml:space="preserve">2.1.6 </w:t>
      </w:r>
      <w:r>
        <w:rPr>
          <w:rFonts w:hint="eastAsia" w:cs="Times New Roman"/>
          <w:b/>
          <w:bCs/>
          <w:szCs w:val="28"/>
        </w:rPr>
        <w:t>气候及水文地质条件</w:t>
      </w:r>
      <w:bookmarkEnd w:id="19"/>
    </w:p>
    <w:p>
      <w:pPr>
        <w:ind w:firstLine="560"/>
        <w:rPr>
          <w:rFonts w:cs="Times New Roman"/>
        </w:rPr>
      </w:pPr>
      <w:r>
        <w:rPr>
          <w:rFonts w:hint="eastAsia" w:cs="Times New Roman"/>
        </w:rPr>
        <w:t>本区属南亚热带季风气候，气候温和，雨量充沛。1月均温14.4°，7月均温28.1°，年均降雨量1930mm，夏秋多台风。根据汕尾中心海洋站1970年至1995年的潮水位资料分析计算，50年一遇最高潮水位为1.914m（珠基），根据晨州水闸的观察，最低潮位为-1.5m。本区为月不等潮汐类型，一般1</w:t>
      </w:r>
      <w:r>
        <w:rPr>
          <w:rFonts w:hint="eastAsia" w:cs="Times New Roman"/>
          <w:szCs w:val="20"/>
        </w:rPr>
        <w:t>～</w:t>
      </w:r>
      <w:r>
        <w:rPr>
          <w:rFonts w:hint="eastAsia" w:cs="Times New Roman"/>
        </w:rPr>
        <w:t>4月为最低潮区期，9</w:t>
      </w:r>
      <w:r>
        <w:rPr>
          <w:rFonts w:hint="eastAsia" w:cs="Times New Roman"/>
          <w:szCs w:val="20"/>
        </w:rPr>
        <w:t>～</w:t>
      </w:r>
      <w:r>
        <w:rPr>
          <w:rFonts w:hint="eastAsia" w:cs="Times New Roman"/>
        </w:rPr>
        <w:t>12月为最高潮区期。</w:t>
      </w:r>
    </w:p>
    <w:p>
      <w:pPr>
        <w:keepNext/>
        <w:keepLines/>
        <w:ind w:firstLine="0" w:firstLineChars="0"/>
        <w:outlineLvl w:val="2"/>
        <w:rPr>
          <w:rFonts w:cs="Times New Roman"/>
          <w:b/>
          <w:kern w:val="44"/>
          <w:sz w:val="32"/>
          <w:szCs w:val="20"/>
        </w:rPr>
      </w:pPr>
      <w:bookmarkStart w:id="20" w:name="_Toc56103689"/>
      <w:r>
        <w:rPr>
          <w:rFonts w:cs="Times New Roman"/>
          <w:b/>
          <w:bCs/>
          <w:szCs w:val="28"/>
        </w:rPr>
        <w:t>2.1.7 防洪标准</w:t>
      </w:r>
      <w:bookmarkEnd w:id="20"/>
    </w:p>
    <w:p>
      <w:pPr>
        <w:ind w:firstLine="560"/>
        <w:rPr>
          <w:rFonts w:cs="Times New Roman"/>
        </w:rPr>
      </w:pPr>
      <w:r>
        <w:rPr>
          <w:rFonts w:hint="eastAsia" w:cs="Times New Roman"/>
        </w:rPr>
        <w:t>本区域的河道治理工程防护对象以耕地和果园为主，根据防护区的人口和耕地面积，依据国家《防洪标准》（GB50201-2014）及《广东省山区中小河流治理工程设计指南》（2016年7月），结合河流洪涝灾害特点和防护区经济社会发展要求，乡镇人口密集区的防洪标准一般取10</w:t>
      </w:r>
      <w:r>
        <w:rPr>
          <w:rFonts w:hint="eastAsia" w:cs="Times New Roman"/>
          <w:szCs w:val="20"/>
        </w:rPr>
        <w:t>～</w:t>
      </w:r>
      <w:r>
        <w:rPr>
          <w:rFonts w:hint="eastAsia" w:cs="Times New Roman"/>
        </w:rPr>
        <w:t>20年一遇；村庄人口集中区的防洪标准区一般取5</w:t>
      </w:r>
      <w:r>
        <w:rPr>
          <w:rFonts w:hint="eastAsia" w:cs="Times New Roman"/>
          <w:szCs w:val="20"/>
        </w:rPr>
        <w:t>～</w:t>
      </w:r>
      <w:r>
        <w:rPr>
          <w:rFonts w:hint="eastAsia" w:cs="Times New Roman"/>
        </w:rPr>
        <w:t>10年一遇；农田因地制宜，按照5年一遇及以下防洪标准或不设防考虑。</w:t>
      </w:r>
    </w:p>
    <w:p>
      <w:pPr>
        <w:ind w:firstLine="560"/>
        <w:rPr>
          <w:rFonts w:cs="Times New Roman"/>
        </w:rPr>
      </w:pPr>
      <w:r>
        <w:rPr>
          <w:rFonts w:hint="eastAsia" w:cs="Times New Roman"/>
        </w:rPr>
        <w:t>根据港仔溪的具体情况，本次划界范围为沿岸人口稀少的乡村，农田等河段，因地制宜，鉴于港仔溪洪水持续时间短，行洪时两岸农作物受淹时间短，故在作物耐受时间内，故在作物耐受时间内，淹没损失不大，故按不设防或者5年一遇考虑</w:t>
      </w:r>
      <w:r>
        <w:rPr>
          <w:rFonts w:cs="Times New Roman"/>
        </w:rPr>
        <w:t>。</w:t>
      </w:r>
    </w:p>
    <w:p>
      <w:pPr>
        <w:keepNext/>
        <w:keepLines/>
        <w:spacing w:before="156" w:beforeLines="50"/>
        <w:ind w:firstLine="0" w:firstLineChars="0"/>
        <w:jc w:val="left"/>
        <w:textAlignment w:val="baseline"/>
        <w:outlineLvl w:val="1"/>
        <w:rPr>
          <w:rFonts w:cs="Times New Roman"/>
          <w:b/>
          <w:szCs w:val="28"/>
        </w:rPr>
      </w:pPr>
      <w:bookmarkStart w:id="21" w:name="_Toc56103690"/>
      <w:r>
        <w:rPr>
          <w:rFonts w:cs="Times New Roman"/>
          <w:b/>
          <w:szCs w:val="28"/>
        </w:rPr>
        <w:t xml:space="preserve">2.2 </w:t>
      </w:r>
      <w:r>
        <w:rPr>
          <w:rFonts w:hint="eastAsia" w:cs="Times New Roman"/>
          <w:b/>
          <w:szCs w:val="28"/>
        </w:rPr>
        <w:t>护岸</w:t>
      </w:r>
      <w:r>
        <w:rPr>
          <w:rFonts w:cs="Times New Roman"/>
          <w:b/>
          <w:szCs w:val="28"/>
        </w:rPr>
        <w:t>工程</w:t>
      </w:r>
      <w:bookmarkEnd w:id="21"/>
    </w:p>
    <w:p>
      <w:pPr>
        <w:ind w:firstLine="560"/>
        <w:rPr>
          <w:rFonts w:cs="Times New Roman"/>
        </w:rPr>
      </w:pPr>
      <w:bookmarkStart w:id="22" w:name="_Toc359490376"/>
      <w:r>
        <w:rPr>
          <w:rFonts w:hint="eastAsia" w:cs="Times New Roman"/>
          <w:color w:val="000000" w:themeColor="text1"/>
          <w:szCs w:val="28"/>
          <w14:textFill>
            <w14:solidFill>
              <w14:schemeClr w14:val="tx1"/>
            </w14:solidFill>
          </w14:textFill>
        </w:rPr>
        <w:t>鳌江（港仔溪）</w:t>
      </w:r>
      <w:r>
        <w:rPr>
          <w:rFonts w:hint="eastAsia" w:cs="Times New Roman"/>
        </w:rPr>
        <w:t>涉及护岸的建设总体思路为：河岸受水流、波浪作用可能或已经发生冲刷破坏影响岸坡安全时，采取防护措施。相关护岸工程治理范围较短，河道流速较慢、河道较平顺，岸坡较缓，但坡脚淘刷严重，且无防护措施，护脚采用浆砌石挡墙护脚，护坡采用草皮护坡。</w:t>
      </w:r>
    </w:p>
    <w:p>
      <w:pPr>
        <w:ind w:firstLine="560"/>
        <w:rPr>
          <w:rFonts w:cs="Times New Roman"/>
        </w:rPr>
      </w:pPr>
      <w:r>
        <w:rPr>
          <w:rFonts w:hint="eastAsia" w:cs="Times New Roman"/>
        </w:rPr>
        <w:t>本次划界范围内护岸总长度2.55km（左岸0.85km，右岸1.70km），其中护岸岸顶路的外侧边界线作为相关位置的划界基准线</w:t>
      </w:r>
      <w:r>
        <w:rPr>
          <w:rFonts w:cs="Times New Roman"/>
        </w:rPr>
        <w:t>。</w:t>
      </w:r>
    </w:p>
    <w:bookmarkEnd w:id="22"/>
    <w:p>
      <w:pPr>
        <w:keepNext/>
        <w:keepLines/>
        <w:spacing w:before="156" w:beforeLines="50"/>
        <w:ind w:firstLine="0" w:firstLineChars="0"/>
        <w:jc w:val="left"/>
        <w:textAlignment w:val="baseline"/>
        <w:outlineLvl w:val="1"/>
        <w:rPr>
          <w:rFonts w:cs="Times New Roman"/>
          <w:b/>
          <w:szCs w:val="28"/>
        </w:rPr>
      </w:pPr>
      <w:bookmarkStart w:id="23" w:name="_Toc56103691"/>
      <w:r>
        <w:rPr>
          <w:rFonts w:cs="Times New Roman"/>
          <w:b/>
          <w:szCs w:val="28"/>
        </w:rPr>
        <w:t>2.3 相关规划成果</w:t>
      </w:r>
      <w:bookmarkEnd w:id="23"/>
    </w:p>
    <w:p>
      <w:pPr>
        <w:pStyle w:val="152"/>
        <w:rPr>
          <w:rFonts w:eastAsia="宋体" w:cs="Times New Roman"/>
          <w:bCs w:val="0"/>
        </w:rPr>
        <w:sectPr>
          <w:headerReference r:id="rId17" w:type="default"/>
          <w:pgSz w:w="11906" w:h="16838"/>
          <w:pgMar w:top="1440" w:right="1418" w:bottom="1440" w:left="1418" w:header="851" w:footer="992" w:gutter="0"/>
          <w:cols w:space="720" w:num="1"/>
          <w:docGrid w:type="lines" w:linePitch="312" w:charSpace="0"/>
        </w:sectPr>
      </w:pPr>
      <w:r>
        <w:rPr>
          <w:rFonts w:hint="eastAsia" w:eastAsia="宋体" w:cs="Times New Roman"/>
          <w:bCs w:val="0"/>
        </w:rPr>
        <w:t>根据省水利厅《关于全面开展全省中小河流治理（二期）实施方案编制工作的通知》，2017年02月由广东省水利电力勘测设计研究院按照《广东省中小河流治理（二期）实施方案工作大纲》的要求，科学编制完成《汕尾市中小河流治理实施方案》。汕尾市华侨管理区治理工程属于广东省中小河流治理（二期）治理规划范围，已列入《汕尾市中小河流治理实施方案》，其中规划治理任务为：治理河段长度为2.70km，护岸2.55km，清淤2.70km，投资345万元。</w:t>
      </w:r>
    </w:p>
    <w:p>
      <w:pPr>
        <w:keepNext/>
        <w:keepLines/>
        <w:spacing w:before="120" w:after="120"/>
        <w:ind w:firstLine="0" w:firstLineChars="0"/>
        <w:jc w:val="left"/>
        <w:textAlignment w:val="baseline"/>
        <w:outlineLvl w:val="0"/>
        <w:rPr>
          <w:rFonts w:cs="Times New Roman"/>
          <w:b/>
          <w:kern w:val="44"/>
          <w:sz w:val="32"/>
          <w:szCs w:val="20"/>
        </w:rPr>
      </w:pPr>
      <w:bookmarkStart w:id="24" w:name="_Toc56103692"/>
      <w:r>
        <w:rPr>
          <w:rFonts w:cs="Times New Roman"/>
          <w:b/>
          <w:kern w:val="44"/>
          <w:sz w:val="32"/>
          <w:szCs w:val="20"/>
        </w:rPr>
        <w:t>3 设计洪水</w:t>
      </w:r>
      <w:bookmarkEnd w:id="24"/>
    </w:p>
    <w:p>
      <w:pPr>
        <w:keepNext/>
        <w:keepLines/>
        <w:spacing w:before="156" w:beforeLines="50"/>
        <w:ind w:firstLine="0" w:firstLineChars="0"/>
        <w:jc w:val="left"/>
        <w:textAlignment w:val="baseline"/>
        <w:outlineLvl w:val="1"/>
        <w:rPr>
          <w:rFonts w:cs="Times New Roman"/>
          <w:b/>
          <w:szCs w:val="28"/>
        </w:rPr>
      </w:pPr>
      <w:bookmarkStart w:id="25" w:name="_Toc56103693"/>
      <w:r>
        <w:rPr>
          <w:rFonts w:cs="Times New Roman"/>
          <w:b/>
          <w:szCs w:val="28"/>
        </w:rPr>
        <w:t>3.1暴雨洪水特性</w:t>
      </w:r>
      <w:bookmarkEnd w:id="25"/>
    </w:p>
    <w:p>
      <w:pPr>
        <w:pStyle w:val="152"/>
        <w:rPr>
          <w:rFonts w:eastAsia="宋体" w:cs="Times New Roman"/>
          <w:bCs w:val="0"/>
        </w:rPr>
      </w:pPr>
      <w:r>
        <w:rPr>
          <w:rFonts w:eastAsia="宋体" w:cs="Times New Roman"/>
          <w:bCs w:val="0"/>
        </w:rPr>
        <w:t>本流域内降雨量年内分配极不均匀，夏多冬少，每年4~10月为汛期，汛期雨量集中，降雨量约占全年的85%以上，其中4~6月为前汛期，以锋面低槽雨为主；后汛期7~10月，常出现台风，并伴随暴雨，造成洪水泛滥。</w:t>
      </w:r>
    </w:p>
    <w:p>
      <w:pPr>
        <w:pStyle w:val="152"/>
        <w:rPr>
          <w:rFonts w:eastAsia="宋体" w:cs="Times New Roman"/>
          <w:bCs w:val="0"/>
        </w:rPr>
      </w:pPr>
      <w:r>
        <w:rPr>
          <w:rFonts w:eastAsia="宋体" w:cs="Times New Roman"/>
          <w:bCs w:val="0"/>
        </w:rPr>
        <w:t>本流域洪水由暴雨形成，大洪水与大暴雨同频率；另外，华侨管理区内港仔溪两岸的村庄地势低平，地形起伏不大，受这种不利地势的影响，汛期来临时，洪水往往漫出河道，造成洪水泛滥。</w:t>
      </w:r>
    </w:p>
    <w:p>
      <w:pPr>
        <w:keepNext/>
        <w:keepLines/>
        <w:spacing w:before="156" w:beforeLines="50"/>
        <w:ind w:firstLine="0" w:firstLineChars="0"/>
        <w:jc w:val="left"/>
        <w:textAlignment w:val="baseline"/>
        <w:outlineLvl w:val="1"/>
        <w:rPr>
          <w:rFonts w:cs="Times New Roman"/>
          <w:b/>
          <w:szCs w:val="28"/>
        </w:rPr>
      </w:pPr>
      <w:bookmarkStart w:id="26" w:name="_Toc56103694"/>
      <w:r>
        <w:rPr>
          <w:rFonts w:cs="Times New Roman"/>
          <w:b/>
          <w:szCs w:val="28"/>
        </w:rPr>
        <w:t>3.2设计洪水</w:t>
      </w:r>
      <w:bookmarkEnd w:id="26"/>
    </w:p>
    <w:p>
      <w:pPr>
        <w:pStyle w:val="152"/>
        <w:rPr>
          <w:rFonts w:eastAsia="宋体" w:cs="Times New Roman"/>
          <w:bCs w:val="0"/>
        </w:rPr>
      </w:pPr>
      <w:r>
        <w:rPr>
          <w:rFonts w:eastAsia="宋体" w:cs="Times New Roman"/>
          <w:bCs w:val="0"/>
        </w:rPr>
        <w:t>设计流域和邻近流域内均没有水文测站，焦坑水文站与本工程流域面积相差太大，不适宜作为设计参证站。故本次设计根据暴雨资料来推求设计洪水。</w:t>
      </w:r>
    </w:p>
    <w:p>
      <w:pPr>
        <w:pStyle w:val="152"/>
        <w:rPr>
          <w:rFonts w:eastAsia="宋体" w:cs="Times New Roman"/>
          <w:bCs w:val="0"/>
        </w:rPr>
      </w:pPr>
      <w:r>
        <w:rPr>
          <w:rFonts w:eastAsia="宋体" w:cs="Times New Roman"/>
          <w:bCs w:val="0"/>
        </w:rPr>
        <w:t>1、设计暴雨统计参数选择</w:t>
      </w:r>
    </w:p>
    <w:p>
      <w:pPr>
        <w:pStyle w:val="152"/>
        <w:rPr>
          <w:rFonts w:eastAsia="宋体" w:cs="Times New Roman"/>
          <w:bCs w:val="0"/>
        </w:rPr>
      </w:pPr>
      <w:r>
        <w:rPr>
          <w:rFonts w:eastAsia="宋体" w:cs="Times New Roman"/>
          <w:bCs w:val="0"/>
        </w:rPr>
        <w:t>根据《广东省暴雨径流查算图表（分区示意图）》，本流域属于分区</w:t>
      </w:r>
      <w:r>
        <w:rPr>
          <w:rFonts w:hint="eastAsia" w:eastAsia="宋体" w:cs="Times New Roman"/>
          <w:bCs w:val="0"/>
        </w:rPr>
        <w:t>Ⅱ</w:t>
      </w:r>
      <w:r>
        <w:rPr>
          <w:rFonts w:eastAsia="宋体" w:cs="Times New Roman"/>
          <w:bCs w:val="0"/>
        </w:rPr>
        <w:t>粤东沿海，暴雨点面换算系数应查找相应的暴雨高区“点面换算系数~历时~集水面积关系图”，根据所查得的点面换算系数将点暴雨量转化为不同频率的设计面降雨量，设计暴雨过程分配采用暴雨径流查算图表中粤东沿海区雨程分配方法。各历时暴雨统计参数通过查广东省暴雨等值线图得到，成果见表</w:t>
      </w:r>
      <w:r>
        <w:rPr>
          <w:rFonts w:hint="eastAsia" w:eastAsia="宋体" w:cs="Times New Roman"/>
          <w:bCs w:val="0"/>
        </w:rPr>
        <w:t>3</w:t>
      </w:r>
      <w:r>
        <w:rPr>
          <w:rFonts w:eastAsia="宋体" w:cs="Times New Roman"/>
          <w:bCs w:val="0"/>
        </w:rPr>
        <w:t>-1。</w:t>
      </w:r>
    </w:p>
    <w:p>
      <w:pPr>
        <w:ind w:firstLine="562"/>
        <w:jc w:val="center"/>
        <w:rPr>
          <w:b/>
        </w:rPr>
      </w:pPr>
    </w:p>
    <w:p>
      <w:pPr>
        <w:ind w:firstLine="562"/>
        <w:jc w:val="center"/>
        <w:rPr>
          <w:b/>
        </w:rPr>
      </w:pPr>
    </w:p>
    <w:p>
      <w:pPr>
        <w:spacing w:before="312" w:beforeLines="100"/>
        <w:ind w:firstLine="0" w:firstLineChars="0"/>
        <w:jc w:val="center"/>
        <w:rPr>
          <w:rFonts w:cs="Times New Roman"/>
          <w:b/>
          <w:sz w:val="21"/>
          <w:szCs w:val="21"/>
        </w:rPr>
      </w:pPr>
      <w:r>
        <w:rPr>
          <w:rFonts w:cs="Times New Roman"/>
          <w:b/>
          <w:sz w:val="21"/>
          <w:szCs w:val="21"/>
        </w:rPr>
        <w:t>表</w:t>
      </w:r>
      <w:r>
        <w:rPr>
          <w:rFonts w:hint="eastAsia" w:cs="Times New Roman"/>
          <w:b/>
          <w:sz w:val="21"/>
          <w:szCs w:val="21"/>
        </w:rPr>
        <w:t>3</w:t>
      </w:r>
      <w:r>
        <w:rPr>
          <w:rFonts w:cs="Times New Roman"/>
          <w:b/>
          <w:sz w:val="21"/>
          <w:szCs w:val="21"/>
        </w:rPr>
        <w:t>-1  各历时暴雨统计参数表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584"/>
        <w:gridCol w:w="584"/>
        <w:gridCol w:w="584"/>
        <w:gridCol w:w="584"/>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Align w:val="center"/>
          </w:tcPr>
          <w:p>
            <w:pPr>
              <w:spacing w:line="240" w:lineRule="auto"/>
              <w:ind w:firstLine="0" w:firstLineChars="0"/>
              <w:jc w:val="center"/>
              <w:rPr>
                <w:sz w:val="21"/>
                <w:szCs w:val="21"/>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-5080</wp:posOffset>
                      </wp:positionV>
                      <wp:extent cx="0" cy="0"/>
                      <wp:effectExtent l="11430" t="13970" r="7620" b="508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4pt;margin-top:-0.4pt;height:0pt;width:0pt;z-index:251660288;mso-width-relative:page;mso-height-relative:page;" filled="f" stroked="t" coordsize="21600,21600" o:gfxdata="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Nory5zwAAAAUBAAAPAAAAAAAAAAEAIAAA&#10;ACIAAABkcnMvZG93bnJldi54bWxQSwECFAAUAAAACACHTuJAf5UsptwBAACkAwAADgAAAAAAAAAB&#10;ACAAAAAeAQAAZHJzL2Uyb0RvYy54bWxQSwUGAAAAAAYABgBZAQAAbAUAAAAA&#10;">
                      <v:fill on="f" focussize="0,0"/>
                      <v:stroke color="#000000" joinstyle="round"/>
                      <v:imagedata o:title=""/>
                      <o:lock v:ext="edit" aspectratio="f"/>
                    </v:line>
                  </w:pict>
                </mc:Fallback>
              </mc:AlternateContent>
            </w:r>
            <w:r>
              <w:rPr>
                <w:sz w:val="21"/>
                <w:szCs w:val="21"/>
              </w:rPr>
              <w:t>时段（h）</w:t>
            </w:r>
          </w:p>
        </w:tc>
        <w:tc>
          <w:tcPr>
            <w:tcW w:w="0" w:type="auto"/>
            <w:vAlign w:val="center"/>
          </w:tcPr>
          <w:p>
            <w:pPr>
              <w:spacing w:line="240" w:lineRule="auto"/>
              <w:ind w:firstLine="0" w:firstLineChars="0"/>
              <w:jc w:val="center"/>
              <w:rPr>
                <w:sz w:val="21"/>
                <w:szCs w:val="21"/>
              </w:rPr>
            </w:pPr>
            <w:r>
              <w:rPr>
                <w:sz w:val="21"/>
                <w:szCs w:val="21"/>
              </w:rPr>
              <w:t>1/6</w:t>
            </w:r>
          </w:p>
        </w:tc>
        <w:tc>
          <w:tcPr>
            <w:tcW w:w="0" w:type="auto"/>
            <w:vAlign w:val="center"/>
          </w:tcPr>
          <w:p>
            <w:pPr>
              <w:spacing w:line="240" w:lineRule="auto"/>
              <w:ind w:firstLine="0" w:firstLineChars="0"/>
              <w:jc w:val="center"/>
              <w:rPr>
                <w:sz w:val="21"/>
                <w:szCs w:val="21"/>
              </w:rPr>
            </w:pPr>
            <w:r>
              <w:rPr>
                <w:sz w:val="21"/>
                <w:szCs w:val="21"/>
              </w:rPr>
              <w:t>1</w:t>
            </w:r>
          </w:p>
        </w:tc>
        <w:tc>
          <w:tcPr>
            <w:tcW w:w="0" w:type="auto"/>
            <w:vAlign w:val="center"/>
          </w:tcPr>
          <w:p>
            <w:pPr>
              <w:spacing w:line="240" w:lineRule="auto"/>
              <w:ind w:firstLine="0" w:firstLineChars="0"/>
              <w:jc w:val="center"/>
              <w:rPr>
                <w:sz w:val="21"/>
                <w:szCs w:val="21"/>
              </w:rPr>
            </w:pPr>
            <w:r>
              <w:rPr>
                <w:sz w:val="21"/>
                <w:szCs w:val="21"/>
              </w:rPr>
              <w:t>6</w:t>
            </w:r>
          </w:p>
        </w:tc>
        <w:tc>
          <w:tcPr>
            <w:tcW w:w="0" w:type="auto"/>
            <w:vAlign w:val="center"/>
          </w:tcPr>
          <w:p>
            <w:pPr>
              <w:ind w:firstLine="0" w:firstLineChars="0"/>
              <w:jc w:val="center"/>
              <w:rPr>
                <w:sz w:val="21"/>
                <w:szCs w:val="21"/>
              </w:rPr>
            </w:pPr>
            <w:r>
              <w:rPr>
                <w:sz w:val="21"/>
                <w:szCs w:val="21"/>
              </w:rPr>
              <w:t>24</w:t>
            </w:r>
          </w:p>
        </w:tc>
        <w:tc>
          <w:tcPr>
            <w:tcW w:w="0" w:type="auto"/>
            <w:vAlign w:val="center"/>
          </w:tcPr>
          <w:p>
            <w:pPr>
              <w:ind w:firstLine="0" w:firstLineChars="0"/>
              <w:jc w:val="center"/>
              <w:rPr>
                <w:sz w:val="21"/>
                <w:szCs w:val="21"/>
              </w:rPr>
            </w:pPr>
            <w:r>
              <w:rPr>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0" w:type="auto"/>
            <w:vAlign w:val="center"/>
          </w:tcPr>
          <w:p>
            <w:pPr>
              <w:spacing w:line="240" w:lineRule="auto"/>
              <w:ind w:firstLine="0" w:firstLineChars="0"/>
              <w:jc w:val="center"/>
              <w:rPr>
                <w:sz w:val="21"/>
                <w:szCs w:val="21"/>
              </w:rPr>
            </w:pPr>
            <w:r>
              <w:rPr>
                <w:sz w:val="21"/>
                <w:szCs w:val="21"/>
              </w:rPr>
              <w:t>Ht(mm)</w:t>
            </w:r>
          </w:p>
        </w:tc>
        <w:tc>
          <w:tcPr>
            <w:tcW w:w="0" w:type="auto"/>
            <w:vAlign w:val="center"/>
          </w:tcPr>
          <w:p>
            <w:pPr>
              <w:spacing w:line="240" w:lineRule="auto"/>
              <w:ind w:firstLine="0" w:firstLineChars="0"/>
              <w:jc w:val="center"/>
              <w:rPr>
                <w:sz w:val="21"/>
                <w:szCs w:val="21"/>
              </w:rPr>
            </w:pPr>
            <w:r>
              <w:rPr>
                <w:sz w:val="21"/>
                <w:szCs w:val="21"/>
              </w:rPr>
              <w:t>22</w:t>
            </w:r>
          </w:p>
        </w:tc>
        <w:tc>
          <w:tcPr>
            <w:tcW w:w="0" w:type="auto"/>
            <w:vAlign w:val="center"/>
          </w:tcPr>
          <w:p>
            <w:pPr>
              <w:spacing w:line="240" w:lineRule="auto"/>
              <w:ind w:firstLine="0" w:firstLineChars="0"/>
              <w:jc w:val="center"/>
              <w:rPr>
                <w:sz w:val="21"/>
                <w:szCs w:val="21"/>
              </w:rPr>
            </w:pPr>
            <w:r>
              <w:rPr>
                <w:sz w:val="21"/>
                <w:szCs w:val="21"/>
              </w:rPr>
              <w:t>60</w:t>
            </w:r>
          </w:p>
        </w:tc>
        <w:tc>
          <w:tcPr>
            <w:tcW w:w="0" w:type="auto"/>
            <w:vAlign w:val="center"/>
          </w:tcPr>
          <w:p>
            <w:pPr>
              <w:spacing w:line="240" w:lineRule="auto"/>
              <w:ind w:firstLine="0" w:firstLineChars="0"/>
              <w:jc w:val="center"/>
              <w:rPr>
                <w:sz w:val="21"/>
                <w:szCs w:val="21"/>
              </w:rPr>
            </w:pPr>
            <w:r>
              <w:rPr>
                <w:sz w:val="21"/>
                <w:szCs w:val="21"/>
              </w:rPr>
              <w:t>150</w:t>
            </w:r>
          </w:p>
        </w:tc>
        <w:tc>
          <w:tcPr>
            <w:tcW w:w="0" w:type="auto"/>
            <w:vAlign w:val="center"/>
          </w:tcPr>
          <w:p>
            <w:pPr>
              <w:ind w:firstLine="0" w:firstLineChars="0"/>
              <w:jc w:val="center"/>
              <w:rPr>
                <w:sz w:val="21"/>
                <w:szCs w:val="21"/>
              </w:rPr>
            </w:pPr>
            <w:r>
              <w:rPr>
                <w:sz w:val="21"/>
                <w:szCs w:val="21"/>
              </w:rPr>
              <w:t>240</w:t>
            </w:r>
          </w:p>
        </w:tc>
        <w:tc>
          <w:tcPr>
            <w:tcW w:w="0" w:type="auto"/>
            <w:vAlign w:val="center"/>
          </w:tcPr>
          <w:p>
            <w:pPr>
              <w:ind w:firstLine="0" w:firstLineChars="0"/>
              <w:jc w:val="center"/>
              <w:rPr>
                <w:sz w:val="21"/>
                <w:szCs w:val="21"/>
              </w:rPr>
            </w:pPr>
            <w:r>
              <w:rPr>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sz w:val="21"/>
                <w:szCs w:val="21"/>
              </w:rPr>
            </w:pPr>
            <w:r>
              <w:rPr>
                <w:sz w:val="21"/>
                <w:szCs w:val="21"/>
              </w:rPr>
              <w:t>Cv</w:t>
            </w:r>
          </w:p>
        </w:tc>
        <w:tc>
          <w:tcPr>
            <w:tcW w:w="0" w:type="auto"/>
            <w:vAlign w:val="center"/>
          </w:tcPr>
          <w:p>
            <w:pPr>
              <w:spacing w:line="240" w:lineRule="auto"/>
              <w:ind w:firstLine="0" w:firstLineChars="0"/>
              <w:jc w:val="center"/>
              <w:rPr>
                <w:sz w:val="21"/>
                <w:szCs w:val="21"/>
              </w:rPr>
            </w:pPr>
            <w:r>
              <w:rPr>
                <w:sz w:val="21"/>
                <w:szCs w:val="21"/>
              </w:rPr>
              <w:t>0.35</w:t>
            </w:r>
          </w:p>
        </w:tc>
        <w:tc>
          <w:tcPr>
            <w:tcW w:w="0" w:type="auto"/>
            <w:vAlign w:val="center"/>
          </w:tcPr>
          <w:p>
            <w:pPr>
              <w:spacing w:line="240" w:lineRule="auto"/>
              <w:ind w:firstLine="0" w:firstLineChars="0"/>
              <w:jc w:val="center"/>
              <w:rPr>
                <w:sz w:val="21"/>
                <w:szCs w:val="21"/>
              </w:rPr>
            </w:pPr>
            <w:r>
              <w:rPr>
                <w:sz w:val="21"/>
                <w:szCs w:val="21"/>
              </w:rPr>
              <w:t>0.40</w:t>
            </w:r>
          </w:p>
        </w:tc>
        <w:tc>
          <w:tcPr>
            <w:tcW w:w="0" w:type="auto"/>
            <w:vAlign w:val="center"/>
          </w:tcPr>
          <w:p>
            <w:pPr>
              <w:spacing w:line="240" w:lineRule="auto"/>
              <w:ind w:firstLine="0" w:firstLineChars="0"/>
              <w:jc w:val="center"/>
              <w:rPr>
                <w:sz w:val="21"/>
                <w:szCs w:val="21"/>
              </w:rPr>
            </w:pPr>
            <w:r>
              <w:rPr>
                <w:sz w:val="21"/>
                <w:szCs w:val="21"/>
              </w:rPr>
              <w:t>0.55</w:t>
            </w:r>
          </w:p>
        </w:tc>
        <w:tc>
          <w:tcPr>
            <w:tcW w:w="0" w:type="auto"/>
            <w:vAlign w:val="center"/>
          </w:tcPr>
          <w:p>
            <w:pPr>
              <w:ind w:firstLine="0" w:firstLineChars="0"/>
              <w:jc w:val="center"/>
              <w:rPr>
                <w:sz w:val="21"/>
                <w:szCs w:val="21"/>
              </w:rPr>
            </w:pPr>
            <w:r>
              <w:rPr>
                <w:sz w:val="21"/>
                <w:szCs w:val="21"/>
              </w:rPr>
              <w:t>0.53</w:t>
            </w:r>
          </w:p>
        </w:tc>
        <w:tc>
          <w:tcPr>
            <w:tcW w:w="0" w:type="auto"/>
            <w:vAlign w:val="center"/>
          </w:tcPr>
          <w:p>
            <w:pPr>
              <w:ind w:firstLine="0" w:firstLineChars="0"/>
              <w:jc w:val="center"/>
              <w:rPr>
                <w:sz w:val="21"/>
                <w:szCs w:val="21"/>
              </w:rPr>
            </w:pPr>
            <w:r>
              <w:rPr>
                <w:sz w:val="21"/>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sz w:val="21"/>
                <w:szCs w:val="21"/>
              </w:rPr>
            </w:pPr>
            <w:r>
              <w:rPr>
                <w:sz w:val="21"/>
                <w:szCs w:val="21"/>
              </w:rPr>
              <w:t>C</w:t>
            </w:r>
            <w:r>
              <w:rPr>
                <w:rFonts w:hint="eastAsia"/>
                <w:sz w:val="21"/>
                <w:szCs w:val="21"/>
              </w:rPr>
              <w:t>S</w:t>
            </w:r>
            <w:r>
              <w:rPr>
                <w:sz w:val="21"/>
                <w:szCs w:val="21"/>
              </w:rPr>
              <w:t>/Cv</w:t>
            </w:r>
          </w:p>
        </w:tc>
        <w:tc>
          <w:tcPr>
            <w:tcW w:w="0" w:type="auto"/>
            <w:gridSpan w:val="5"/>
            <w:vAlign w:val="center"/>
          </w:tcPr>
          <w:p>
            <w:pPr>
              <w:spacing w:line="240" w:lineRule="auto"/>
              <w:ind w:firstLine="0" w:firstLineChars="0"/>
              <w:jc w:val="center"/>
              <w:rPr>
                <w:sz w:val="21"/>
                <w:szCs w:val="21"/>
              </w:rPr>
            </w:pPr>
            <w:r>
              <w:rPr>
                <w:sz w:val="21"/>
                <w:szCs w:val="21"/>
              </w:rPr>
              <w:t>3.5</w:t>
            </w:r>
          </w:p>
        </w:tc>
      </w:tr>
    </w:tbl>
    <w:p>
      <w:pPr>
        <w:pStyle w:val="152"/>
        <w:rPr>
          <w:rFonts w:eastAsia="宋体" w:cs="Times New Roman"/>
          <w:bCs w:val="0"/>
        </w:rPr>
      </w:pPr>
      <w:r>
        <w:rPr>
          <w:rFonts w:eastAsia="宋体" w:cs="Times New Roman"/>
          <w:bCs w:val="0"/>
        </w:rPr>
        <w:t>2、基本资料的选取</w:t>
      </w:r>
    </w:p>
    <w:p>
      <w:pPr>
        <w:pStyle w:val="152"/>
        <w:rPr>
          <w:rFonts w:eastAsia="宋体" w:cs="Times New Roman"/>
          <w:bCs w:val="0"/>
        </w:rPr>
      </w:pPr>
      <w:r>
        <w:rPr>
          <w:rFonts w:eastAsia="宋体" w:cs="Times New Roman"/>
          <w:bCs w:val="0"/>
        </w:rPr>
        <w:fldChar w:fldCharType="begin"/>
      </w:r>
      <w:r>
        <w:rPr>
          <w:rFonts w:eastAsia="宋体" w:cs="Times New Roman"/>
          <w:bCs w:val="0"/>
        </w:rPr>
        <w:instrText xml:space="preserve"> = 1 \* GB3 </w:instrText>
      </w:r>
      <w:r>
        <w:rPr>
          <w:rFonts w:eastAsia="宋体" w:cs="Times New Roman"/>
          <w:bCs w:val="0"/>
        </w:rPr>
        <w:fldChar w:fldCharType="separate"/>
      </w:r>
      <w:r>
        <w:rPr>
          <w:rFonts w:hint="eastAsia" w:eastAsia="宋体" w:cs="Times New Roman"/>
          <w:bCs w:val="0"/>
        </w:rPr>
        <w:t>①</w:t>
      </w:r>
      <w:r>
        <w:rPr>
          <w:rFonts w:eastAsia="宋体" w:cs="Times New Roman"/>
          <w:bCs w:val="0"/>
        </w:rPr>
        <w:fldChar w:fldCharType="end"/>
      </w:r>
      <w:r>
        <w:rPr>
          <w:rFonts w:eastAsia="宋体" w:cs="Times New Roman"/>
          <w:bCs w:val="0"/>
        </w:rPr>
        <w:t>集水区域水文地理特征值</w:t>
      </w:r>
    </w:p>
    <w:p>
      <w:pPr>
        <w:pStyle w:val="152"/>
        <w:rPr>
          <w:rFonts w:eastAsia="宋体" w:cs="Times New Roman"/>
          <w:bCs w:val="0"/>
        </w:rPr>
      </w:pPr>
      <w:r>
        <w:rPr>
          <w:rFonts w:eastAsia="宋体" w:cs="Times New Roman"/>
          <w:bCs w:val="0"/>
        </w:rPr>
        <w:t>本次设计洪水采取将计算河段划分为若干断面进行计算，计算断面根据流域特点进行划分。根据万分之一地形图，结合最新实测资料，得到各计算断面以上流域的流域特征参数，其成果见表</w:t>
      </w:r>
      <w:r>
        <w:rPr>
          <w:rFonts w:hint="eastAsia" w:eastAsia="宋体" w:cs="Times New Roman"/>
          <w:bCs w:val="0"/>
        </w:rPr>
        <w:t>3</w:t>
      </w:r>
      <w:r>
        <w:rPr>
          <w:rFonts w:eastAsia="宋体" w:cs="Times New Roman"/>
          <w:bCs w:val="0"/>
        </w:rPr>
        <w:t>-2。</w:t>
      </w:r>
    </w:p>
    <w:p>
      <w:pPr>
        <w:spacing w:before="312" w:beforeLines="100"/>
        <w:ind w:firstLine="0" w:firstLineChars="0"/>
        <w:jc w:val="center"/>
        <w:rPr>
          <w:rFonts w:cs="Times New Roman"/>
          <w:b/>
          <w:sz w:val="21"/>
          <w:szCs w:val="21"/>
        </w:rPr>
      </w:pPr>
      <w:r>
        <w:rPr>
          <w:rFonts w:cs="Times New Roman"/>
          <w:b/>
          <w:sz w:val="21"/>
          <w:szCs w:val="21"/>
        </w:rPr>
        <w:t>表</w:t>
      </w:r>
      <w:r>
        <w:rPr>
          <w:rFonts w:hint="eastAsia" w:cs="Times New Roman"/>
          <w:b/>
          <w:sz w:val="21"/>
          <w:szCs w:val="21"/>
        </w:rPr>
        <w:t>3</w:t>
      </w:r>
      <w:r>
        <w:rPr>
          <w:rFonts w:cs="Times New Roman"/>
          <w:b/>
          <w:sz w:val="21"/>
          <w:szCs w:val="21"/>
        </w:rPr>
        <w:t>-2  集水区域水文地理特征值表</w:t>
      </w:r>
    </w:p>
    <w:tbl>
      <w:tblPr>
        <w:tblStyle w:val="27"/>
        <w:tblW w:w="5000" w:type="pct"/>
        <w:jc w:val="center"/>
        <w:tblLayout w:type="autofit"/>
        <w:tblCellMar>
          <w:top w:w="0" w:type="dxa"/>
          <w:left w:w="108" w:type="dxa"/>
          <w:bottom w:w="0" w:type="dxa"/>
          <w:right w:w="108" w:type="dxa"/>
        </w:tblCellMar>
      </w:tblPr>
      <w:tblGrid>
        <w:gridCol w:w="1584"/>
        <w:gridCol w:w="1584"/>
        <w:gridCol w:w="1584"/>
        <w:gridCol w:w="1584"/>
        <w:gridCol w:w="1584"/>
        <w:gridCol w:w="1366"/>
      </w:tblGrid>
      <w:tr>
        <w:tblPrEx>
          <w:tblCellMar>
            <w:top w:w="0" w:type="dxa"/>
            <w:left w:w="108" w:type="dxa"/>
            <w:bottom w:w="0" w:type="dxa"/>
            <w:right w:w="108" w:type="dxa"/>
          </w:tblCellMar>
        </w:tblPrEx>
        <w:trPr>
          <w:trHeight w:val="543" w:hRule="atLeast"/>
          <w:jc w:val="center"/>
        </w:trPr>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计算河段</w:t>
            </w:r>
          </w:p>
        </w:tc>
        <w:tc>
          <w:tcPr>
            <w:tcW w:w="853"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所在桩号</w:t>
            </w:r>
          </w:p>
        </w:tc>
        <w:tc>
          <w:tcPr>
            <w:tcW w:w="853"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计算区块</w:t>
            </w:r>
          </w:p>
        </w:tc>
        <w:tc>
          <w:tcPr>
            <w:tcW w:w="853"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集雨面积（</w:t>
            </w:r>
            <w:r>
              <w:rPr>
                <w:kern w:val="0"/>
                <w:sz w:val="21"/>
                <w:szCs w:val="21"/>
              </w:rPr>
              <w:t>km</w:t>
            </w:r>
            <w:r>
              <w:rPr>
                <w:kern w:val="0"/>
                <w:sz w:val="21"/>
                <w:szCs w:val="21"/>
                <w:vertAlign w:val="superscript"/>
              </w:rPr>
              <w:t>2</w:t>
            </w:r>
            <w:r>
              <w:rPr>
                <w:sz w:val="21"/>
                <w:szCs w:val="21"/>
              </w:rPr>
              <w:t>）</w:t>
            </w:r>
          </w:p>
        </w:tc>
        <w:tc>
          <w:tcPr>
            <w:tcW w:w="853"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主河道长度（km）</w:t>
            </w:r>
          </w:p>
        </w:tc>
        <w:tc>
          <w:tcPr>
            <w:tcW w:w="735"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平均坡降</w:t>
            </w:r>
          </w:p>
        </w:tc>
      </w:tr>
      <w:tr>
        <w:tblPrEx>
          <w:tblCellMar>
            <w:top w:w="0" w:type="dxa"/>
            <w:left w:w="108" w:type="dxa"/>
            <w:bottom w:w="0" w:type="dxa"/>
            <w:right w:w="108" w:type="dxa"/>
          </w:tblCellMar>
        </w:tblPrEx>
        <w:trPr>
          <w:trHeight w:val="367" w:hRule="atLeast"/>
          <w:jc w:val="center"/>
        </w:trPr>
        <w:tc>
          <w:tcPr>
            <w:tcW w:w="853" w:type="pct"/>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港仔溪</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K2+750</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断面一</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17.917</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11.516</w:t>
            </w:r>
          </w:p>
        </w:tc>
        <w:tc>
          <w:tcPr>
            <w:tcW w:w="735"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0.00449</w:t>
            </w:r>
          </w:p>
        </w:tc>
      </w:tr>
      <w:tr>
        <w:tblPrEx>
          <w:tblCellMar>
            <w:top w:w="0" w:type="dxa"/>
            <w:left w:w="108" w:type="dxa"/>
            <w:bottom w:w="0" w:type="dxa"/>
            <w:right w:w="108" w:type="dxa"/>
          </w:tblCellMar>
        </w:tblPrEx>
        <w:trPr>
          <w:trHeight w:val="367" w:hRule="atLeast"/>
          <w:jc w:val="center"/>
        </w:trPr>
        <w:tc>
          <w:tcPr>
            <w:tcW w:w="853" w:type="pct"/>
            <w:vMerge w:val="continue"/>
            <w:tcBorders>
              <w:top w:val="nil"/>
              <w:left w:val="single" w:color="auto" w:sz="4" w:space="0"/>
              <w:bottom w:val="single" w:color="auto" w:sz="4" w:space="0"/>
              <w:right w:val="single" w:color="auto" w:sz="4" w:space="0"/>
            </w:tcBorders>
            <w:vAlign w:val="center"/>
          </w:tcPr>
          <w:p>
            <w:pPr>
              <w:spacing w:line="240" w:lineRule="auto"/>
              <w:ind w:firstLine="420"/>
              <w:jc w:val="center"/>
              <w:rPr>
                <w:sz w:val="21"/>
                <w:szCs w:val="21"/>
              </w:rPr>
            </w:pP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K2+600</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断面二</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17.797</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11.316</w:t>
            </w:r>
          </w:p>
        </w:tc>
        <w:tc>
          <w:tcPr>
            <w:tcW w:w="735"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0.00461</w:t>
            </w:r>
          </w:p>
        </w:tc>
      </w:tr>
      <w:tr>
        <w:tblPrEx>
          <w:tblCellMar>
            <w:top w:w="0" w:type="dxa"/>
            <w:left w:w="108" w:type="dxa"/>
            <w:bottom w:w="0" w:type="dxa"/>
            <w:right w:w="108" w:type="dxa"/>
          </w:tblCellMar>
        </w:tblPrEx>
        <w:trPr>
          <w:trHeight w:val="367" w:hRule="atLeast"/>
          <w:jc w:val="center"/>
        </w:trPr>
        <w:tc>
          <w:tcPr>
            <w:tcW w:w="853" w:type="pct"/>
            <w:vMerge w:val="continue"/>
            <w:tcBorders>
              <w:top w:val="nil"/>
              <w:left w:val="single" w:color="auto" w:sz="4" w:space="0"/>
              <w:bottom w:val="single" w:color="auto" w:sz="4" w:space="0"/>
              <w:right w:val="single" w:color="auto" w:sz="4" w:space="0"/>
            </w:tcBorders>
            <w:vAlign w:val="center"/>
          </w:tcPr>
          <w:p>
            <w:pPr>
              <w:spacing w:line="240" w:lineRule="auto"/>
              <w:ind w:firstLine="420"/>
              <w:jc w:val="center"/>
              <w:rPr>
                <w:sz w:val="21"/>
                <w:szCs w:val="21"/>
              </w:rPr>
            </w:pP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2+</w:t>
            </w:r>
            <w:r>
              <w:rPr>
                <w:rFonts w:hint="eastAsia"/>
                <w:sz w:val="21"/>
                <w:szCs w:val="21"/>
              </w:rPr>
              <w:t>5</w:t>
            </w:r>
            <w:r>
              <w:rPr>
                <w:sz w:val="21"/>
                <w:szCs w:val="21"/>
              </w:rPr>
              <w:t>00</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断面三</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11.393</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11.216</w:t>
            </w:r>
          </w:p>
        </w:tc>
        <w:tc>
          <w:tcPr>
            <w:tcW w:w="735"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0.00464</w:t>
            </w:r>
          </w:p>
        </w:tc>
      </w:tr>
      <w:tr>
        <w:tblPrEx>
          <w:tblCellMar>
            <w:top w:w="0" w:type="dxa"/>
            <w:left w:w="108" w:type="dxa"/>
            <w:bottom w:w="0" w:type="dxa"/>
            <w:right w:w="108" w:type="dxa"/>
          </w:tblCellMar>
        </w:tblPrEx>
        <w:trPr>
          <w:trHeight w:val="367" w:hRule="atLeast"/>
          <w:jc w:val="center"/>
        </w:trPr>
        <w:tc>
          <w:tcPr>
            <w:tcW w:w="853" w:type="pct"/>
            <w:vMerge w:val="continue"/>
            <w:tcBorders>
              <w:top w:val="nil"/>
              <w:left w:val="single" w:color="auto" w:sz="4" w:space="0"/>
              <w:bottom w:val="single" w:color="auto" w:sz="4" w:space="0"/>
              <w:right w:val="single" w:color="auto" w:sz="4" w:space="0"/>
            </w:tcBorders>
            <w:vAlign w:val="center"/>
          </w:tcPr>
          <w:p>
            <w:pPr>
              <w:spacing w:line="240" w:lineRule="auto"/>
              <w:ind w:firstLine="420"/>
              <w:jc w:val="center"/>
              <w:rPr>
                <w:sz w:val="21"/>
                <w:szCs w:val="21"/>
              </w:rPr>
            </w:pP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1+</w:t>
            </w:r>
            <w:r>
              <w:rPr>
                <w:rFonts w:hint="eastAsia"/>
                <w:sz w:val="21"/>
                <w:szCs w:val="21"/>
              </w:rPr>
              <w:t>4</w:t>
            </w:r>
            <w:r>
              <w:rPr>
                <w:sz w:val="21"/>
                <w:szCs w:val="21"/>
              </w:rPr>
              <w:t>50</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断面四</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10.777</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10.165</w:t>
            </w:r>
          </w:p>
        </w:tc>
        <w:tc>
          <w:tcPr>
            <w:tcW w:w="735"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0.00539</w:t>
            </w:r>
          </w:p>
        </w:tc>
      </w:tr>
      <w:tr>
        <w:tblPrEx>
          <w:tblCellMar>
            <w:top w:w="0" w:type="dxa"/>
            <w:left w:w="108" w:type="dxa"/>
            <w:bottom w:w="0" w:type="dxa"/>
            <w:right w:w="108" w:type="dxa"/>
          </w:tblCellMar>
        </w:tblPrEx>
        <w:trPr>
          <w:trHeight w:val="367" w:hRule="atLeast"/>
          <w:jc w:val="center"/>
        </w:trPr>
        <w:tc>
          <w:tcPr>
            <w:tcW w:w="853" w:type="pct"/>
            <w:vMerge w:val="continue"/>
            <w:tcBorders>
              <w:top w:val="nil"/>
              <w:left w:val="single" w:color="auto" w:sz="4" w:space="0"/>
              <w:bottom w:val="single" w:color="auto" w:sz="4" w:space="0"/>
              <w:right w:val="single" w:color="auto" w:sz="4" w:space="0"/>
            </w:tcBorders>
            <w:vAlign w:val="center"/>
          </w:tcPr>
          <w:p>
            <w:pPr>
              <w:spacing w:line="240" w:lineRule="auto"/>
              <w:ind w:firstLine="420"/>
              <w:jc w:val="center"/>
              <w:rPr>
                <w:sz w:val="21"/>
                <w:szCs w:val="21"/>
              </w:rPr>
            </w:pP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0+</w:t>
            </w:r>
            <w:r>
              <w:rPr>
                <w:rFonts w:hint="eastAsia"/>
                <w:sz w:val="21"/>
                <w:szCs w:val="21"/>
              </w:rPr>
              <w:t>3</w:t>
            </w:r>
            <w:r>
              <w:rPr>
                <w:sz w:val="21"/>
                <w:szCs w:val="21"/>
              </w:rPr>
              <w:t>00</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断面五</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10.159</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9.011</w:t>
            </w:r>
          </w:p>
        </w:tc>
        <w:tc>
          <w:tcPr>
            <w:tcW w:w="735"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0.00683</w:t>
            </w:r>
          </w:p>
        </w:tc>
      </w:tr>
      <w:tr>
        <w:tblPrEx>
          <w:tblCellMar>
            <w:top w:w="0" w:type="dxa"/>
            <w:left w:w="108" w:type="dxa"/>
            <w:bottom w:w="0" w:type="dxa"/>
            <w:right w:w="108" w:type="dxa"/>
          </w:tblCellMar>
        </w:tblPrEx>
        <w:trPr>
          <w:trHeight w:val="367" w:hRule="atLeast"/>
          <w:jc w:val="center"/>
        </w:trPr>
        <w:tc>
          <w:tcPr>
            <w:tcW w:w="853" w:type="pct"/>
            <w:vMerge w:val="continue"/>
            <w:tcBorders>
              <w:top w:val="nil"/>
              <w:left w:val="single" w:color="auto" w:sz="4" w:space="0"/>
              <w:bottom w:val="single" w:color="auto" w:sz="4" w:space="0"/>
              <w:right w:val="single" w:color="auto" w:sz="4" w:space="0"/>
            </w:tcBorders>
            <w:vAlign w:val="center"/>
          </w:tcPr>
          <w:p>
            <w:pPr>
              <w:spacing w:line="240" w:lineRule="auto"/>
              <w:ind w:firstLine="420"/>
              <w:jc w:val="center"/>
              <w:rPr>
                <w:sz w:val="21"/>
                <w:szCs w:val="21"/>
              </w:rPr>
            </w:pP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0+</w:t>
            </w:r>
            <w:r>
              <w:rPr>
                <w:rFonts w:hint="eastAsia"/>
                <w:sz w:val="21"/>
                <w:szCs w:val="21"/>
              </w:rPr>
              <w:t>2</w:t>
            </w:r>
            <w:r>
              <w:rPr>
                <w:sz w:val="21"/>
                <w:szCs w:val="21"/>
              </w:rPr>
              <w:t>00</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断面六</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8.093</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8.962</w:t>
            </w:r>
          </w:p>
        </w:tc>
        <w:tc>
          <w:tcPr>
            <w:tcW w:w="735"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0.0069</w:t>
            </w:r>
          </w:p>
        </w:tc>
      </w:tr>
      <w:tr>
        <w:tblPrEx>
          <w:tblCellMar>
            <w:top w:w="0" w:type="dxa"/>
            <w:left w:w="108" w:type="dxa"/>
            <w:bottom w:w="0" w:type="dxa"/>
            <w:right w:w="108" w:type="dxa"/>
          </w:tblCellMar>
        </w:tblPrEx>
        <w:trPr>
          <w:trHeight w:val="367" w:hRule="atLeast"/>
          <w:jc w:val="center"/>
        </w:trPr>
        <w:tc>
          <w:tcPr>
            <w:tcW w:w="853" w:type="pct"/>
            <w:vMerge w:val="continue"/>
            <w:tcBorders>
              <w:top w:val="nil"/>
              <w:left w:val="single" w:color="auto" w:sz="4" w:space="0"/>
              <w:bottom w:val="single" w:color="auto" w:sz="4" w:space="0"/>
              <w:right w:val="single" w:color="auto" w:sz="4" w:space="0"/>
            </w:tcBorders>
            <w:vAlign w:val="center"/>
          </w:tcPr>
          <w:p>
            <w:pPr>
              <w:spacing w:line="240" w:lineRule="auto"/>
              <w:ind w:firstLine="420"/>
              <w:jc w:val="center"/>
              <w:rPr>
                <w:sz w:val="21"/>
                <w:szCs w:val="21"/>
              </w:rPr>
            </w:pP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0+</w:t>
            </w:r>
            <w:r>
              <w:rPr>
                <w:rFonts w:hint="eastAsia"/>
                <w:sz w:val="21"/>
                <w:szCs w:val="21"/>
              </w:rPr>
              <w:t>0</w:t>
            </w:r>
            <w:r>
              <w:rPr>
                <w:sz w:val="21"/>
                <w:szCs w:val="21"/>
              </w:rPr>
              <w:t>00</w:t>
            </w:r>
          </w:p>
        </w:tc>
        <w:tc>
          <w:tcPr>
            <w:tcW w:w="85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断面七</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7.701</w:t>
            </w:r>
          </w:p>
        </w:tc>
        <w:tc>
          <w:tcPr>
            <w:tcW w:w="853"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8.512</w:t>
            </w:r>
          </w:p>
        </w:tc>
        <w:tc>
          <w:tcPr>
            <w:tcW w:w="735"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sz w:val="21"/>
                <w:szCs w:val="21"/>
              </w:rPr>
            </w:pPr>
            <w:r>
              <w:rPr>
                <w:sz w:val="21"/>
                <w:szCs w:val="21"/>
              </w:rPr>
              <w:t>0.00717</w:t>
            </w:r>
          </w:p>
        </w:tc>
      </w:tr>
    </w:tbl>
    <w:p>
      <w:pPr>
        <w:pStyle w:val="152"/>
        <w:rPr>
          <w:rFonts w:eastAsia="宋体" w:cs="Times New Roman"/>
          <w:bCs w:val="0"/>
        </w:rPr>
      </w:pPr>
      <w:r>
        <w:rPr>
          <w:rFonts w:eastAsia="宋体" w:cs="Times New Roman"/>
          <w:bCs w:val="0"/>
        </w:rPr>
        <w:fldChar w:fldCharType="begin"/>
      </w:r>
      <w:r>
        <w:rPr>
          <w:rFonts w:eastAsia="宋体" w:cs="Times New Roman"/>
          <w:bCs w:val="0"/>
        </w:rPr>
        <w:instrText xml:space="preserve"> = 2 \* GB3 </w:instrText>
      </w:r>
      <w:r>
        <w:rPr>
          <w:rFonts w:eastAsia="宋体" w:cs="Times New Roman"/>
          <w:bCs w:val="0"/>
        </w:rPr>
        <w:fldChar w:fldCharType="separate"/>
      </w:r>
      <w:r>
        <w:rPr>
          <w:rFonts w:hint="eastAsia" w:eastAsia="宋体" w:cs="Times New Roman"/>
          <w:bCs w:val="0"/>
        </w:rPr>
        <w:t>②</w:t>
      </w:r>
      <w:r>
        <w:rPr>
          <w:rFonts w:eastAsia="宋体" w:cs="Times New Roman"/>
          <w:bCs w:val="0"/>
        </w:rPr>
        <w:fldChar w:fldCharType="end"/>
      </w:r>
      <w:r>
        <w:rPr>
          <w:rFonts w:eastAsia="宋体" w:cs="Times New Roman"/>
          <w:bCs w:val="0"/>
        </w:rPr>
        <w:t>集水区域下垫面情况</w:t>
      </w:r>
    </w:p>
    <w:p>
      <w:pPr>
        <w:pStyle w:val="152"/>
        <w:rPr>
          <w:rFonts w:eastAsia="宋体" w:cs="Times New Roman"/>
          <w:bCs w:val="0"/>
        </w:rPr>
      </w:pPr>
      <w:r>
        <w:rPr>
          <w:rFonts w:eastAsia="宋体" w:cs="Times New Roman"/>
          <w:bCs w:val="0"/>
        </w:rPr>
        <w:t>集水区域内大部分为丘陵地貌，植被良好。</w:t>
      </w:r>
    </w:p>
    <w:p>
      <w:pPr>
        <w:pStyle w:val="152"/>
        <w:rPr>
          <w:rFonts w:eastAsia="宋体" w:cs="Times New Roman"/>
          <w:bCs w:val="0"/>
        </w:rPr>
      </w:pPr>
      <w:r>
        <w:rPr>
          <w:rFonts w:eastAsia="宋体" w:cs="Times New Roman"/>
          <w:bCs w:val="0"/>
        </w:rPr>
        <w:fldChar w:fldCharType="begin"/>
      </w:r>
      <w:r>
        <w:rPr>
          <w:rFonts w:eastAsia="宋体" w:cs="Times New Roman"/>
          <w:bCs w:val="0"/>
        </w:rPr>
        <w:instrText xml:space="preserve"> = 3 \* GB3 </w:instrText>
      </w:r>
      <w:r>
        <w:rPr>
          <w:rFonts w:eastAsia="宋体" w:cs="Times New Roman"/>
          <w:bCs w:val="0"/>
        </w:rPr>
        <w:fldChar w:fldCharType="separate"/>
      </w:r>
      <w:r>
        <w:rPr>
          <w:rFonts w:hint="eastAsia" w:eastAsia="宋体" w:cs="Times New Roman"/>
          <w:bCs w:val="0"/>
        </w:rPr>
        <w:t>③</w:t>
      </w:r>
      <w:r>
        <w:rPr>
          <w:rFonts w:eastAsia="宋体" w:cs="Times New Roman"/>
          <w:bCs w:val="0"/>
        </w:rPr>
        <w:fldChar w:fldCharType="end"/>
      </w:r>
      <w:r>
        <w:rPr>
          <w:rFonts w:eastAsia="宋体" w:cs="Times New Roman"/>
          <w:bCs w:val="0"/>
        </w:rPr>
        <w:t>计算方法及产流汇流参数</w:t>
      </w:r>
    </w:p>
    <w:p>
      <w:pPr>
        <w:pStyle w:val="152"/>
        <w:rPr>
          <w:rFonts w:eastAsia="宋体" w:cs="Times New Roman"/>
          <w:bCs w:val="0"/>
        </w:rPr>
      </w:pPr>
      <w:r>
        <w:rPr>
          <w:rFonts w:eastAsia="宋体" w:cs="Times New Roman"/>
          <w:bCs w:val="0"/>
        </w:rPr>
        <w:t>设计洪水采用广东省综合单位线和新推理公式法分别计算，并对结果进行比选。</w:t>
      </w:r>
    </w:p>
    <w:p>
      <w:pPr>
        <w:pStyle w:val="152"/>
        <w:rPr>
          <w:rFonts w:eastAsia="宋体" w:cs="Times New Roman"/>
          <w:bCs w:val="0"/>
        </w:rPr>
      </w:pPr>
      <w:r>
        <w:rPr>
          <w:rFonts w:eastAsia="宋体" w:cs="Times New Roman"/>
          <w:bCs w:val="0"/>
        </w:rPr>
        <w:t>设计雨型：</w:t>
      </w:r>
      <w:r>
        <w:rPr>
          <w:rFonts w:hint="eastAsia" w:eastAsia="宋体" w:cs="Times New Roman"/>
          <w:bCs w:val="0"/>
        </w:rPr>
        <w:t>Ⅱ</w:t>
      </w:r>
      <w:r>
        <w:rPr>
          <w:rFonts w:eastAsia="宋体" w:cs="Times New Roman"/>
          <w:bCs w:val="0"/>
        </w:rPr>
        <w:t>粤东沿海；</w:t>
      </w:r>
    </w:p>
    <w:p>
      <w:pPr>
        <w:pStyle w:val="152"/>
        <w:rPr>
          <w:rFonts w:eastAsia="宋体" w:cs="Times New Roman"/>
          <w:bCs w:val="0"/>
        </w:rPr>
      </w:pPr>
      <w:r>
        <w:rPr>
          <w:rFonts w:eastAsia="宋体" w:cs="Times New Roman"/>
          <w:bCs w:val="0"/>
        </w:rPr>
        <w:t>设计暴雨定点定面关系：暴雨高区；</w:t>
      </w:r>
    </w:p>
    <w:p>
      <w:pPr>
        <w:pStyle w:val="152"/>
        <w:rPr>
          <w:rFonts w:eastAsia="宋体" w:cs="Times New Roman"/>
          <w:bCs w:val="0"/>
        </w:rPr>
      </w:pPr>
      <w:r>
        <w:rPr>
          <w:rFonts w:eastAsia="宋体" w:cs="Times New Roman"/>
          <w:bCs w:val="0"/>
        </w:rPr>
        <w:t>产流区：粤东沿海、珠三角洲；</w:t>
      </w:r>
    </w:p>
    <w:p>
      <w:pPr>
        <w:pStyle w:val="152"/>
        <w:rPr>
          <w:rFonts w:eastAsia="宋体" w:cs="Times New Roman"/>
          <w:bCs w:val="0"/>
        </w:rPr>
      </w:pPr>
      <w:r>
        <w:rPr>
          <w:rFonts w:eastAsia="宋体" w:cs="Times New Roman"/>
          <w:bCs w:val="0"/>
        </w:rPr>
        <w:t>广东省综合单位线滞时m1~θ关系图中的大陆高区；</w:t>
      </w:r>
    </w:p>
    <w:p>
      <w:pPr>
        <w:pStyle w:val="152"/>
        <w:rPr>
          <w:rFonts w:eastAsia="宋体" w:cs="Times New Roman"/>
          <w:bCs w:val="0"/>
        </w:rPr>
      </w:pPr>
      <w:r>
        <w:rPr>
          <w:rFonts w:eastAsia="宋体" w:cs="Times New Roman"/>
          <w:bCs w:val="0"/>
        </w:rPr>
        <w:t>广东省综合单位线</w:t>
      </w:r>
      <w:r>
        <w:rPr>
          <w:rFonts w:hint="eastAsia" w:eastAsia="宋体" w:cs="Times New Roman"/>
          <w:bCs w:val="0"/>
        </w:rPr>
        <w:t>Ⅱ</w:t>
      </w:r>
      <w:r>
        <w:rPr>
          <w:rFonts w:eastAsia="宋体" w:cs="Times New Roman"/>
          <w:bCs w:val="0"/>
        </w:rPr>
        <w:t>号无因次单位线Ui~Xi；</w:t>
      </w:r>
    </w:p>
    <w:p>
      <w:pPr>
        <w:pStyle w:val="152"/>
        <w:rPr>
          <w:rFonts w:eastAsia="宋体" w:cs="Times New Roman"/>
          <w:bCs w:val="0"/>
        </w:rPr>
      </w:pPr>
      <w:r>
        <w:rPr>
          <w:rFonts w:eastAsia="宋体" w:cs="Times New Roman"/>
          <w:bCs w:val="0"/>
        </w:rPr>
        <w:t>推理公式法m~θ关系图中的大陆山区。</w:t>
      </w:r>
    </w:p>
    <w:p>
      <w:pPr>
        <w:pStyle w:val="152"/>
        <w:rPr>
          <w:rFonts w:eastAsia="宋体" w:cs="Times New Roman"/>
          <w:bCs w:val="0"/>
        </w:rPr>
      </w:pPr>
      <w:r>
        <w:rPr>
          <w:rFonts w:eastAsia="宋体" w:cs="Times New Roman"/>
          <w:bCs w:val="0"/>
        </w:rPr>
        <w:t>3、设计暴雨推求设计洪水</w:t>
      </w:r>
    </w:p>
    <w:p>
      <w:pPr>
        <w:pStyle w:val="152"/>
        <w:rPr>
          <w:rFonts w:eastAsia="宋体" w:cs="Times New Roman"/>
          <w:bCs w:val="0"/>
        </w:rPr>
      </w:pPr>
      <w:r>
        <w:rPr>
          <w:rFonts w:eastAsia="宋体" w:cs="Times New Roman"/>
          <w:bCs w:val="0"/>
        </w:rPr>
        <w:t>根据流域形状、集水面积、河道特性，选定无因次</w:t>
      </w:r>
      <w:r>
        <w:rPr>
          <w:rFonts w:hint="eastAsia" w:eastAsia="宋体" w:cs="Times New Roman"/>
          <w:bCs w:val="0"/>
        </w:rPr>
        <w:t>Ⅱ</w:t>
      </w:r>
      <w:r>
        <w:rPr>
          <w:rFonts w:eastAsia="宋体" w:cs="Times New Roman"/>
          <w:bCs w:val="0"/>
        </w:rPr>
        <w:t>号综合单位线法和推理公式法两种方法推求设计洪水，利用广东水利平台软件计算。计算结果见表</w:t>
      </w:r>
      <w:r>
        <w:rPr>
          <w:rFonts w:hint="eastAsia" w:eastAsia="宋体" w:cs="Times New Roman"/>
          <w:bCs w:val="0"/>
        </w:rPr>
        <w:t>3</w:t>
      </w:r>
      <w:r>
        <w:rPr>
          <w:rFonts w:eastAsia="宋体" w:cs="Times New Roman"/>
          <w:bCs w:val="0"/>
        </w:rPr>
        <w:t>-3。</w:t>
      </w:r>
    </w:p>
    <w:p>
      <w:pPr>
        <w:spacing w:before="312" w:beforeLines="100"/>
        <w:ind w:firstLine="0" w:firstLineChars="0"/>
        <w:jc w:val="center"/>
        <w:rPr>
          <w:rFonts w:cs="Times New Roman"/>
          <w:b/>
          <w:sz w:val="21"/>
          <w:szCs w:val="21"/>
        </w:rPr>
      </w:pPr>
      <w:r>
        <w:rPr>
          <w:rFonts w:cs="Times New Roman"/>
          <w:b/>
          <w:sz w:val="21"/>
          <w:szCs w:val="21"/>
        </w:rPr>
        <w:t>表</w:t>
      </w:r>
      <w:r>
        <w:rPr>
          <w:rFonts w:hint="eastAsia" w:cs="Times New Roman"/>
          <w:b/>
          <w:sz w:val="21"/>
          <w:szCs w:val="21"/>
        </w:rPr>
        <w:t>3</w:t>
      </w:r>
      <w:r>
        <w:rPr>
          <w:rFonts w:cs="Times New Roman"/>
          <w:b/>
          <w:sz w:val="21"/>
          <w:szCs w:val="21"/>
        </w:rPr>
        <w:t>-3  设计洪峰流量计算成果表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397"/>
        <w:gridCol w:w="1397"/>
        <w:gridCol w:w="1863"/>
        <w:gridCol w:w="1740"/>
        <w:gridCol w:w="1523"/>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trPr>
        <w:tc>
          <w:tcPr>
            <w:tcW w:w="732" w:type="pct"/>
            <w:vMerge w:val="restart"/>
            <w:shd w:val="clear" w:color="auto" w:fill="auto"/>
            <w:vAlign w:val="center"/>
          </w:tcPr>
          <w:p>
            <w:pPr>
              <w:spacing w:line="240" w:lineRule="auto"/>
              <w:ind w:firstLine="0" w:firstLineChars="0"/>
              <w:jc w:val="center"/>
              <w:rPr>
                <w:sz w:val="21"/>
                <w:szCs w:val="21"/>
              </w:rPr>
            </w:pPr>
            <w:r>
              <w:rPr>
                <w:sz w:val="21"/>
                <w:szCs w:val="21"/>
              </w:rPr>
              <w:t>计算河段</w:t>
            </w:r>
          </w:p>
        </w:tc>
        <w:tc>
          <w:tcPr>
            <w:tcW w:w="752" w:type="pct"/>
            <w:vMerge w:val="restart"/>
            <w:vAlign w:val="center"/>
          </w:tcPr>
          <w:p>
            <w:pPr>
              <w:spacing w:line="240" w:lineRule="auto"/>
              <w:ind w:firstLine="0" w:firstLineChars="0"/>
              <w:jc w:val="center"/>
              <w:rPr>
                <w:sz w:val="21"/>
                <w:szCs w:val="21"/>
              </w:rPr>
            </w:pPr>
            <w:r>
              <w:rPr>
                <w:sz w:val="21"/>
                <w:szCs w:val="21"/>
              </w:rPr>
              <w:t>所在桩号</w:t>
            </w:r>
          </w:p>
        </w:tc>
        <w:tc>
          <w:tcPr>
            <w:tcW w:w="752" w:type="pct"/>
            <w:vMerge w:val="restart"/>
            <w:shd w:val="clear" w:color="auto" w:fill="auto"/>
            <w:vAlign w:val="center"/>
          </w:tcPr>
          <w:p>
            <w:pPr>
              <w:spacing w:line="240" w:lineRule="auto"/>
              <w:ind w:firstLine="0" w:firstLineChars="0"/>
              <w:jc w:val="center"/>
              <w:rPr>
                <w:sz w:val="21"/>
                <w:szCs w:val="21"/>
              </w:rPr>
            </w:pPr>
            <w:r>
              <w:rPr>
                <w:sz w:val="21"/>
                <w:szCs w:val="21"/>
              </w:rPr>
              <w:t>计算区块</w:t>
            </w:r>
          </w:p>
        </w:tc>
        <w:tc>
          <w:tcPr>
            <w:tcW w:w="2763" w:type="pct"/>
            <w:gridSpan w:val="4"/>
            <w:shd w:val="clear" w:color="auto" w:fill="auto"/>
            <w:vAlign w:val="center"/>
          </w:tcPr>
          <w:p>
            <w:pPr>
              <w:spacing w:line="240" w:lineRule="auto"/>
              <w:ind w:firstLine="0" w:firstLineChars="0"/>
              <w:jc w:val="center"/>
              <w:rPr>
                <w:sz w:val="21"/>
                <w:szCs w:val="21"/>
              </w:rPr>
            </w:pPr>
            <w:r>
              <w:rPr>
                <w:sz w:val="21"/>
                <w:szCs w:val="21"/>
              </w:rPr>
              <w:t>P=20%洪峰流量（</w:t>
            </w:r>
            <w:r>
              <w:rPr>
                <w:sz w:val="21"/>
                <w:szCs w:val="21"/>
                <w:lang w:val="zh-CN" w:eastAsia="zh-CN"/>
              </w:rPr>
              <w:t>m</w:t>
            </w:r>
            <w:r>
              <w:rPr>
                <w:sz w:val="21"/>
                <w:szCs w:val="21"/>
                <w:vertAlign w:val="superscript"/>
                <w:lang w:val="zh-CN" w:eastAsia="zh-CN"/>
              </w:rPr>
              <w:t>3</w:t>
            </w:r>
            <w:r>
              <w:rPr>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67" w:hRule="atLeast"/>
          <w:tblHeader/>
        </w:trPr>
        <w:tc>
          <w:tcPr>
            <w:tcW w:w="732" w:type="pct"/>
            <w:vMerge w:val="continue"/>
            <w:shd w:val="clear" w:color="auto" w:fill="auto"/>
            <w:vAlign w:val="center"/>
          </w:tcPr>
          <w:p>
            <w:pPr>
              <w:spacing w:line="240" w:lineRule="auto"/>
              <w:ind w:firstLine="420"/>
              <w:jc w:val="center"/>
              <w:rPr>
                <w:sz w:val="21"/>
                <w:szCs w:val="21"/>
              </w:rPr>
            </w:pPr>
          </w:p>
        </w:tc>
        <w:tc>
          <w:tcPr>
            <w:tcW w:w="752" w:type="pct"/>
            <w:vMerge w:val="continue"/>
            <w:vAlign w:val="center"/>
          </w:tcPr>
          <w:p>
            <w:pPr>
              <w:spacing w:line="240" w:lineRule="auto"/>
              <w:ind w:firstLine="420"/>
              <w:jc w:val="center"/>
              <w:rPr>
                <w:sz w:val="21"/>
                <w:szCs w:val="21"/>
              </w:rPr>
            </w:pPr>
          </w:p>
        </w:tc>
        <w:tc>
          <w:tcPr>
            <w:tcW w:w="752" w:type="pct"/>
            <w:vMerge w:val="continue"/>
            <w:shd w:val="clear" w:color="auto" w:fill="auto"/>
            <w:vAlign w:val="center"/>
          </w:tcPr>
          <w:p>
            <w:pPr>
              <w:spacing w:line="240" w:lineRule="auto"/>
              <w:ind w:firstLine="420"/>
              <w:jc w:val="center"/>
              <w:rPr>
                <w:sz w:val="21"/>
                <w:szCs w:val="21"/>
              </w:rPr>
            </w:pPr>
          </w:p>
        </w:tc>
        <w:tc>
          <w:tcPr>
            <w:tcW w:w="1003" w:type="pct"/>
            <w:shd w:val="clear" w:color="auto" w:fill="auto"/>
            <w:vAlign w:val="center"/>
          </w:tcPr>
          <w:p>
            <w:pPr>
              <w:spacing w:line="240" w:lineRule="auto"/>
              <w:ind w:firstLine="0" w:firstLineChars="0"/>
              <w:jc w:val="center"/>
              <w:rPr>
                <w:sz w:val="21"/>
                <w:szCs w:val="21"/>
              </w:rPr>
            </w:pPr>
            <w:r>
              <w:rPr>
                <w:sz w:val="21"/>
                <w:szCs w:val="21"/>
              </w:rPr>
              <w:t>综合单位线法</w:t>
            </w:r>
          </w:p>
        </w:tc>
        <w:tc>
          <w:tcPr>
            <w:tcW w:w="937" w:type="pct"/>
            <w:shd w:val="clear" w:color="auto" w:fill="auto"/>
            <w:vAlign w:val="center"/>
          </w:tcPr>
          <w:p>
            <w:pPr>
              <w:spacing w:line="240" w:lineRule="auto"/>
              <w:ind w:firstLine="0" w:firstLineChars="0"/>
              <w:jc w:val="center"/>
              <w:rPr>
                <w:sz w:val="21"/>
                <w:szCs w:val="21"/>
              </w:rPr>
            </w:pPr>
            <w:r>
              <w:rPr>
                <w:sz w:val="21"/>
                <w:szCs w:val="21"/>
              </w:rPr>
              <w:t>推理公式法</w:t>
            </w:r>
          </w:p>
        </w:tc>
        <w:tc>
          <w:tcPr>
            <w:tcW w:w="820" w:type="pct"/>
            <w:shd w:val="clear" w:color="auto" w:fill="auto"/>
            <w:vAlign w:val="center"/>
          </w:tcPr>
          <w:p>
            <w:pPr>
              <w:spacing w:line="240" w:lineRule="auto"/>
              <w:ind w:firstLine="0" w:firstLineChars="0"/>
              <w:jc w:val="center"/>
              <w:rPr>
                <w:sz w:val="21"/>
                <w:szCs w:val="21"/>
              </w:rPr>
            </w:pPr>
            <w:r>
              <w:rPr>
                <w:sz w:val="21"/>
                <w:szCs w:val="21"/>
              </w:rPr>
              <w:t>相对差额（%）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65" w:hRule="atLeast"/>
        </w:trPr>
        <w:tc>
          <w:tcPr>
            <w:tcW w:w="732" w:type="pct"/>
            <w:vMerge w:val="restart"/>
            <w:shd w:val="clear" w:color="auto" w:fill="auto"/>
            <w:vAlign w:val="center"/>
          </w:tcPr>
          <w:p>
            <w:pPr>
              <w:spacing w:line="240" w:lineRule="auto"/>
              <w:ind w:firstLine="0" w:firstLineChars="0"/>
              <w:jc w:val="center"/>
              <w:rPr>
                <w:sz w:val="21"/>
                <w:szCs w:val="21"/>
              </w:rPr>
            </w:pPr>
            <w:r>
              <w:rPr>
                <w:sz w:val="21"/>
                <w:szCs w:val="21"/>
              </w:rPr>
              <w:t>港仔溪</w:t>
            </w:r>
          </w:p>
        </w:tc>
        <w:tc>
          <w:tcPr>
            <w:tcW w:w="752" w:type="pct"/>
            <w:vAlign w:val="center"/>
          </w:tcPr>
          <w:p>
            <w:pPr>
              <w:spacing w:line="240" w:lineRule="auto"/>
              <w:ind w:firstLine="0" w:firstLineChars="0"/>
              <w:jc w:val="center"/>
              <w:rPr>
                <w:sz w:val="21"/>
                <w:szCs w:val="21"/>
              </w:rPr>
            </w:pPr>
            <w:r>
              <w:rPr>
                <w:rFonts w:hint="eastAsia"/>
                <w:sz w:val="21"/>
                <w:szCs w:val="21"/>
              </w:rPr>
              <w:t>K2+750</w:t>
            </w:r>
          </w:p>
        </w:tc>
        <w:tc>
          <w:tcPr>
            <w:tcW w:w="752" w:type="pct"/>
            <w:shd w:val="clear" w:color="auto" w:fill="auto"/>
            <w:vAlign w:val="center"/>
          </w:tcPr>
          <w:p>
            <w:pPr>
              <w:spacing w:line="240" w:lineRule="auto"/>
              <w:ind w:firstLine="0" w:firstLineChars="0"/>
              <w:jc w:val="center"/>
              <w:rPr>
                <w:sz w:val="21"/>
                <w:szCs w:val="21"/>
              </w:rPr>
            </w:pPr>
            <w:r>
              <w:rPr>
                <w:sz w:val="21"/>
                <w:szCs w:val="21"/>
              </w:rPr>
              <w:t>断面一</w:t>
            </w:r>
          </w:p>
        </w:tc>
        <w:tc>
          <w:tcPr>
            <w:tcW w:w="1003" w:type="pct"/>
            <w:shd w:val="clear" w:color="auto" w:fill="auto"/>
            <w:vAlign w:val="center"/>
          </w:tcPr>
          <w:p>
            <w:pPr>
              <w:spacing w:line="240" w:lineRule="auto"/>
              <w:ind w:firstLine="0" w:firstLineChars="0"/>
              <w:jc w:val="center"/>
              <w:rPr>
                <w:sz w:val="21"/>
                <w:szCs w:val="21"/>
              </w:rPr>
            </w:pPr>
            <w:r>
              <w:rPr>
                <w:sz w:val="21"/>
                <w:szCs w:val="21"/>
              </w:rPr>
              <w:t>178.51</w:t>
            </w:r>
          </w:p>
        </w:tc>
        <w:tc>
          <w:tcPr>
            <w:tcW w:w="937" w:type="pct"/>
            <w:shd w:val="clear" w:color="auto" w:fill="auto"/>
            <w:vAlign w:val="center"/>
          </w:tcPr>
          <w:p>
            <w:pPr>
              <w:spacing w:line="240" w:lineRule="auto"/>
              <w:ind w:firstLine="0" w:firstLineChars="0"/>
              <w:jc w:val="center"/>
              <w:rPr>
                <w:sz w:val="21"/>
                <w:szCs w:val="21"/>
              </w:rPr>
            </w:pPr>
            <w:r>
              <w:rPr>
                <w:sz w:val="21"/>
                <w:szCs w:val="21"/>
              </w:rPr>
              <w:t>159.67</w:t>
            </w:r>
          </w:p>
        </w:tc>
        <w:tc>
          <w:tcPr>
            <w:tcW w:w="820" w:type="pct"/>
            <w:shd w:val="clear" w:color="auto" w:fill="auto"/>
            <w:vAlign w:val="center"/>
          </w:tcPr>
          <w:p>
            <w:pPr>
              <w:spacing w:line="240" w:lineRule="auto"/>
              <w:ind w:firstLine="0" w:firstLineChars="0"/>
              <w:jc w:val="center"/>
              <w:rPr>
                <w:sz w:val="21"/>
                <w:szCs w:val="21"/>
              </w:rPr>
            </w:pPr>
            <w:r>
              <w:rPr>
                <w:sz w:val="21"/>
                <w:szCs w:val="21"/>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67" w:hRule="atLeast"/>
        </w:trPr>
        <w:tc>
          <w:tcPr>
            <w:tcW w:w="732" w:type="pct"/>
            <w:vMerge w:val="continue"/>
            <w:shd w:val="clear" w:color="auto" w:fill="auto"/>
            <w:vAlign w:val="center"/>
          </w:tcPr>
          <w:p>
            <w:pPr>
              <w:spacing w:line="240" w:lineRule="auto"/>
              <w:ind w:firstLine="420"/>
              <w:jc w:val="center"/>
              <w:rPr>
                <w:sz w:val="21"/>
                <w:szCs w:val="21"/>
              </w:rPr>
            </w:pPr>
          </w:p>
        </w:tc>
        <w:tc>
          <w:tcPr>
            <w:tcW w:w="752" w:type="pct"/>
            <w:vAlign w:val="center"/>
          </w:tcPr>
          <w:p>
            <w:pPr>
              <w:spacing w:line="240" w:lineRule="auto"/>
              <w:ind w:firstLine="0" w:firstLineChars="0"/>
              <w:jc w:val="center"/>
              <w:rPr>
                <w:sz w:val="21"/>
                <w:szCs w:val="21"/>
              </w:rPr>
            </w:pPr>
            <w:r>
              <w:rPr>
                <w:rFonts w:hint="eastAsia"/>
                <w:sz w:val="21"/>
                <w:szCs w:val="21"/>
              </w:rPr>
              <w:t>K2+600</w:t>
            </w:r>
          </w:p>
        </w:tc>
        <w:tc>
          <w:tcPr>
            <w:tcW w:w="752" w:type="pct"/>
            <w:shd w:val="clear" w:color="auto" w:fill="auto"/>
            <w:vAlign w:val="center"/>
          </w:tcPr>
          <w:p>
            <w:pPr>
              <w:spacing w:line="240" w:lineRule="auto"/>
              <w:ind w:firstLine="0" w:firstLineChars="0"/>
              <w:jc w:val="center"/>
              <w:rPr>
                <w:sz w:val="21"/>
                <w:szCs w:val="21"/>
              </w:rPr>
            </w:pPr>
            <w:r>
              <w:rPr>
                <w:sz w:val="21"/>
                <w:szCs w:val="21"/>
              </w:rPr>
              <w:t>断面二</w:t>
            </w:r>
          </w:p>
        </w:tc>
        <w:tc>
          <w:tcPr>
            <w:tcW w:w="1003" w:type="pct"/>
            <w:shd w:val="clear" w:color="auto" w:fill="auto"/>
            <w:vAlign w:val="center"/>
          </w:tcPr>
          <w:p>
            <w:pPr>
              <w:spacing w:line="240" w:lineRule="auto"/>
              <w:ind w:firstLine="0" w:firstLineChars="0"/>
              <w:jc w:val="center"/>
              <w:rPr>
                <w:sz w:val="21"/>
                <w:szCs w:val="21"/>
              </w:rPr>
            </w:pPr>
            <w:r>
              <w:rPr>
                <w:sz w:val="21"/>
                <w:szCs w:val="21"/>
              </w:rPr>
              <w:t>178.49</w:t>
            </w:r>
          </w:p>
        </w:tc>
        <w:tc>
          <w:tcPr>
            <w:tcW w:w="937" w:type="pct"/>
            <w:shd w:val="clear" w:color="auto" w:fill="auto"/>
            <w:vAlign w:val="center"/>
          </w:tcPr>
          <w:p>
            <w:pPr>
              <w:spacing w:line="240" w:lineRule="auto"/>
              <w:ind w:firstLine="0" w:firstLineChars="0"/>
              <w:jc w:val="center"/>
              <w:rPr>
                <w:sz w:val="21"/>
                <w:szCs w:val="21"/>
              </w:rPr>
            </w:pPr>
            <w:r>
              <w:rPr>
                <w:sz w:val="21"/>
                <w:szCs w:val="21"/>
              </w:rPr>
              <w:t>159.45</w:t>
            </w:r>
          </w:p>
        </w:tc>
        <w:tc>
          <w:tcPr>
            <w:tcW w:w="820" w:type="pct"/>
            <w:shd w:val="clear" w:color="auto" w:fill="auto"/>
            <w:vAlign w:val="center"/>
          </w:tcPr>
          <w:p>
            <w:pPr>
              <w:spacing w:line="240" w:lineRule="auto"/>
              <w:ind w:firstLine="0" w:firstLineChars="0"/>
              <w:jc w:val="center"/>
              <w:rPr>
                <w:sz w:val="21"/>
                <w:szCs w:val="21"/>
              </w:rPr>
            </w:pPr>
            <w:r>
              <w:rPr>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67" w:hRule="atLeast"/>
        </w:trPr>
        <w:tc>
          <w:tcPr>
            <w:tcW w:w="732" w:type="pct"/>
            <w:vMerge w:val="continue"/>
            <w:shd w:val="clear" w:color="auto" w:fill="auto"/>
            <w:vAlign w:val="center"/>
          </w:tcPr>
          <w:p>
            <w:pPr>
              <w:spacing w:line="240" w:lineRule="auto"/>
              <w:ind w:firstLine="420"/>
              <w:jc w:val="center"/>
              <w:rPr>
                <w:sz w:val="21"/>
                <w:szCs w:val="21"/>
              </w:rPr>
            </w:pPr>
          </w:p>
        </w:tc>
        <w:tc>
          <w:tcPr>
            <w:tcW w:w="752" w:type="pct"/>
            <w:vAlign w:val="center"/>
          </w:tcPr>
          <w:p>
            <w:pPr>
              <w:spacing w:line="240" w:lineRule="auto"/>
              <w:ind w:firstLine="0" w:firstLineChars="0"/>
              <w:jc w:val="center"/>
              <w:rPr>
                <w:sz w:val="21"/>
                <w:szCs w:val="21"/>
              </w:rPr>
            </w:pPr>
            <w:r>
              <w:rPr>
                <w:rFonts w:hint="eastAsia"/>
                <w:sz w:val="21"/>
                <w:szCs w:val="21"/>
              </w:rPr>
              <w:t>K</w:t>
            </w:r>
            <w:r>
              <w:rPr>
                <w:sz w:val="21"/>
                <w:szCs w:val="21"/>
              </w:rPr>
              <w:t>2+</w:t>
            </w:r>
            <w:r>
              <w:rPr>
                <w:rFonts w:hint="eastAsia"/>
                <w:sz w:val="21"/>
                <w:szCs w:val="21"/>
              </w:rPr>
              <w:t>5</w:t>
            </w:r>
            <w:r>
              <w:rPr>
                <w:sz w:val="21"/>
                <w:szCs w:val="21"/>
              </w:rPr>
              <w:t>00</w:t>
            </w:r>
          </w:p>
        </w:tc>
        <w:tc>
          <w:tcPr>
            <w:tcW w:w="752" w:type="pct"/>
            <w:shd w:val="clear" w:color="auto" w:fill="auto"/>
            <w:vAlign w:val="center"/>
          </w:tcPr>
          <w:p>
            <w:pPr>
              <w:spacing w:line="240" w:lineRule="auto"/>
              <w:ind w:firstLine="0" w:firstLineChars="0"/>
              <w:jc w:val="center"/>
              <w:rPr>
                <w:sz w:val="21"/>
                <w:szCs w:val="21"/>
              </w:rPr>
            </w:pPr>
            <w:r>
              <w:rPr>
                <w:sz w:val="21"/>
                <w:szCs w:val="21"/>
              </w:rPr>
              <w:t>断面三</w:t>
            </w:r>
          </w:p>
        </w:tc>
        <w:tc>
          <w:tcPr>
            <w:tcW w:w="1003" w:type="pct"/>
            <w:shd w:val="clear" w:color="auto" w:fill="auto"/>
            <w:vAlign w:val="center"/>
          </w:tcPr>
          <w:p>
            <w:pPr>
              <w:spacing w:line="240" w:lineRule="auto"/>
              <w:ind w:firstLine="0" w:firstLineChars="0"/>
              <w:jc w:val="center"/>
              <w:rPr>
                <w:sz w:val="21"/>
                <w:szCs w:val="21"/>
              </w:rPr>
            </w:pPr>
            <w:r>
              <w:rPr>
                <w:sz w:val="21"/>
                <w:szCs w:val="21"/>
              </w:rPr>
              <w:t>117.25</w:t>
            </w:r>
          </w:p>
        </w:tc>
        <w:tc>
          <w:tcPr>
            <w:tcW w:w="937" w:type="pct"/>
            <w:shd w:val="clear" w:color="auto" w:fill="auto"/>
            <w:vAlign w:val="center"/>
          </w:tcPr>
          <w:p>
            <w:pPr>
              <w:spacing w:line="240" w:lineRule="auto"/>
              <w:ind w:firstLine="0" w:firstLineChars="0"/>
              <w:jc w:val="center"/>
              <w:rPr>
                <w:sz w:val="21"/>
                <w:szCs w:val="21"/>
              </w:rPr>
            </w:pPr>
            <w:r>
              <w:rPr>
                <w:sz w:val="21"/>
                <w:szCs w:val="21"/>
              </w:rPr>
              <w:t>97.46</w:t>
            </w:r>
          </w:p>
        </w:tc>
        <w:tc>
          <w:tcPr>
            <w:tcW w:w="820" w:type="pct"/>
            <w:shd w:val="clear" w:color="auto" w:fill="auto"/>
            <w:vAlign w:val="center"/>
          </w:tcPr>
          <w:p>
            <w:pPr>
              <w:spacing w:line="240" w:lineRule="auto"/>
              <w:ind w:firstLine="0" w:firstLineChars="0"/>
              <w:jc w:val="center"/>
              <w:rPr>
                <w:sz w:val="21"/>
                <w:szCs w:val="21"/>
              </w:rPr>
            </w:pPr>
            <w:r>
              <w:rPr>
                <w:sz w:val="21"/>
                <w:szCs w:val="21"/>
              </w:rPr>
              <w:t>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67" w:hRule="atLeast"/>
        </w:trPr>
        <w:tc>
          <w:tcPr>
            <w:tcW w:w="732" w:type="pct"/>
            <w:vMerge w:val="continue"/>
            <w:shd w:val="clear" w:color="auto" w:fill="auto"/>
            <w:vAlign w:val="center"/>
          </w:tcPr>
          <w:p>
            <w:pPr>
              <w:spacing w:line="240" w:lineRule="auto"/>
              <w:ind w:firstLine="420"/>
              <w:jc w:val="center"/>
              <w:rPr>
                <w:sz w:val="21"/>
                <w:szCs w:val="21"/>
              </w:rPr>
            </w:pPr>
          </w:p>
        </w:tc>
        <w:tc>
          <w:tcPr>
            <w:tcW w:w="752" w:type="pct"/>
            <w:vAlign w:val="center"/>
          </w:tcPr>
          <w:p>
            <w:pPr>
              <w:spacing w:line="240" w:lineRule="auto"/>
              <w:ind w:firstLine="0" w:firstLineChars="0"/>
              <w:jc w:val="center"/>
              <w:rPr>
                <w:sz w:val="21"/>
                <w:szCs w:val="21"/>
              </w:rPr>
            </w:pPr>
            <w:r>
              <w:rPr>
                <w:rFonts w:hint="eastAsia"/>
                <w:sz w:val="21"/>
                <w:szCs w:val="21"/>
              </w:rPr>
              <w:t>K</w:t>
            </w:r>
            <w:r>
              <w:rPr>
                <w:sz w:val="21"/>
                <w:szCs w:val="21"/>
              </w:rPr>
              <w:t>1+</w:t>
            </w:r>
            <w:r>
              <w:rPr>
                <w:rFonts w:hint="eastAsia"/>
                <w:sz w:val="21"/>
                <w:szCs w:val="21"/>
              </w:rPr>
              <w:t>4</w:t>
            </w:r>
            <w:r>
              <w:rPr>
                <w:sz w:val="21"/>
                <w:szCs w:val="21"/>
              </w:rPr>
              <w:t>50</w:t>
            </w:r>
          </w:p>
        </w:tc>
        <w:tc>
          <w:tcPr>
            <w:tcW w:w="752" w:type="pct"/>
            <w:shd w:val="clear" w:color="auto" w:fill="auto"/>
            <w:vAlign w:val="center"/>
          </w:tcPr>
          <w:p>
            <w:pPr>
              <w:spacing w:line="240" w:lineRule="auto"/>
              <w:ind w:firstLine="0" w:firstLineChars="0"/>
              <w:jc w:val="center"/>
              <w:rPr>
                <w:sz w:val="21"/>
                <w:szCs w:val="21"/>
              </w:rPr>
            </w:pPr>
            <w:r>
              <w:rPr>
                <w:sz w:val="21"/>
                <w:szCs w:val="21"/>
              </w:rPr>
              <w:t>断面四</w:t>
            </w:r>
          </w:p>
        </w:tc>
        <w:tc>
          <w:tcPr>
            <w:tcW w:w="1003" w:type="pct"/>
            <w:shd w:val="clear" w:color="auto" w:fill="auto"/>
            <w:vAlign w:val="center"/>
          </w:tcPr>
          <w:p>
            <w:pPr>
              <w:spacing w:line="240" w:lineRule="auto"/>
              <w:ind w:firstLine="0" w:firstLineChars="0"/>
              <w:jc w:val="center"/>
              <w:rPr>
                <w:sz w:val="21"/>
                <w:szCs w:val="21"/>
              </w:rPr>
            </w:pPr>
            <w:r>
              <w:rPr>
                <w:sz w:val="21"/>
                <w:szCs w:val="21"/>
              </w:rPr>
              <w:t>113.52</w:t>
            </w:r>
          </w:p>
        </w:tc>
        <w:tc>
          <w:tcPr>
            <w:tcW w:w="937" w:type="pct"/>
            <w:shd w:val="clear" w:color="auto" w:fill="auto"/>
            <w:vAlign w:val="center"/>
          </w:tcPr>
          <w:p>
            <w:pPr>
              <w:spacing w:line="240" w:lineRule="auto"/>
              <w:ind w:firstLine="0" w:firstLineChars="0"/>
              <w:jc w:val="center"/>
              <w:rPr>
                <w:sz w:val="21"/>
                <w:szCs w:val="21"/>
              </w:rPr>
            </w:pPr>
            <w:r>
              <w:rPr>
                <w:sz w:val="21"/>
                <w:szCs w:val="21"/>
              </w:rPr>
              <w:t>98.59</w:t>
            </w:r>
          </w:p>
        </w:tc>
        <w:tc>
          <w:tcPr>
            <w:tcW w:w="820" w:type="pct"/>
            <w:shd w:val="clear" w:color="auto" w:fill="auto"/>
            <w:vAlign w:val="center"/>
          </w:tcPr>
          <w:p>
            <w:pPr>
              <w:spacing w:line="240" w:lineRule="auto"/>
              <w:ind w:firstLine="0" w:firstLineChars="0"/>
              <w:jc w:val="center"/>
              <w:rPr>
                <w:sz w:val="21"/>
                <w:szCs w:val="21"/>
              </w:rPr>
            </w:pPr>
            <w:r>
              <w:rPr>
                <w:sz w:val="21"/>
                <w:szCs w:val="21"/>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67" w:hRule="atLeast"/>
        </w:trPr>
        <w:tc>
          <w:tcPr>
            <w:tcW w:w="732" w:type="pct"/>
            <w:vMerge w:val="continue"/>
            <w:shd w:val="clear" w:color="auto" w:fill="auto"/>
            <w:vAlign w:val="center"/>
          </w:tcPr>
          <w:p>
            <w:pPr>
              <w:spacing w:line="240" w:lineRule="auto"/>
              <w:ind w:firstLine="420"/>
              <w:jc w:val="center"/>
              <w:rPr>
                <w:sz w:val="21"/>
                <w:szCs w:val="21"/>
              </w:rPr>
            </w:pPr>
          </w:p>
        </w:tc>
        <w:tc>
          <w:tcPr>
            <w:tcW w:w="752" w:type="pct"/>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0+</w:t>
            </w:r>
            <w:r>
              <w:rPr>
                <w:rFonts w:hint="eastAsia"/>
                <w:sz w:val="21"/>
                <w:szCs w:val="21"/>
              </w:rPr>
              <w:t>3</w:t>
            </w:r>
            <w:r>
              <w:rPr>
                <w:sz w:val="21"/>
                <w:szCs w:val="21"/>
              </w:rPr>
              <w:t>00</w:t>
            </w:r>
          </w:p>
        </w:tc>
        <w:tc>
          <w:tcPr>
            <w:tcW w:w="752" w:type="pct"/>
            <w:shd w:val="clear" w:color="auto" w:fill="auto"/>
            <w:vAlign w:val="center"/>
          </w:tcPr>
          <w:p>
            <w:pPr>
              <w:spacing w:line="240" w:lineRule="auto"/>
              <w:ind w:firstLine="0" w:firstLineChars="0"/>
              <w:jc w:val="center"/>
              <w:rPr>
                <w:sz w:val="21"/>
                <w:szCs w:val="21"/>
              </w:rPr>
            </w:pPr>
            <w:r>
              <w:rPr>
                <w:sz w:val="21"/>
                <w:szCs w:val="21"/>
              </w:rPr>
              <w:t>断面五</w:t>
            </w:r>
          </w:p>
        </w:tc>
        <w:tc>
          <w:tcPr>
            <w:tcW w:w="1003" w:type="pct"/>
            <w:shd w:val="clear" w:color="auto" w:fill="auto"/>
            <w:vAlign w:val="center"/>
          </w:tcPr>
          <w:p>
            <w:pPr>
              <w:spacing w:line="240" w:lineRule="auto"/>
              <w:ind w:firstLine="0" w:firstLineChars="0"/>
              <w:jc w:val="center"/>
              <w:rPr>
                <w:sz w:val="21"/>
                <w:szCs w:val="21"/>
              </w:rPr>
            </w:pPr>
            <w:r>
              <w:rPr>
                <w:sz w:val="21"/>
                <w:szCs w:val="21"/>
              </w:rPr>
              <w:t>111.65</w:t>
            </w:r>
          </w:p>
        </w:tc>
        <w:tc>
          <w:tcPr>
            <w:tcW w:w="937" w:type="pct"/>
            <w:shd w:val="clear" w:color="auto" w:fill="auto"/>
            <w:vAlign w:val="center"/>
          </w:tcPr>
          <w:p>
            <w:pPr>
              <w:spacing w:line="240" w:lineRule="auto"/>
              <w:ind w:firstLine="0" w:firstLineChars="0"/>
              <w:jc w:val="center"/>
              <w:rPr>
                <w:sz w:val="21"/>
                <w:szCs w:val="21"/>
              </w:rPr>
            </w:pPr>
            <w:r>
              <w:rPr>
                <w:sz w:val="21"/>
                <w:szCs w:val="21"/>
              </w:rPr>
              <w:t>102.32</w:t>
            </w:r>
          </w:p>
        </w:tc>
        <w:tc>
          <w:tcPr>
            <w:tcW w:w="820" w:type="pct"/>
            <w:shd w:val="clear" w:color="auto" w:fill="auto"/>
            <w:vAlign w:val="center"/>
          </w:tcPr>
          <w:p>
            <w:pPr>
              <w:spacing w:line="240" w:lineRule="auto"/>
              <w:ind w:firstLine="0" w:firstLineChars="0"/>
              <w:jc w:val="center"/>
              <w:rPr>
                <w:sz w:val="21"/>
                <w:szCs w:val="21"/>
              </w:rPr>
            </w:pPr>
            <w:r>
              <w:rPr>
                <w:sz w:val="21"/>
                <w:szCs w:val="21"/>
              </w:rPr>
              <w:t>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67" w:hRule="atLeast"/>
        </w:trPr>
        <w:tc>
          <w:tcPr>
            <w:tcW w:w="732" w:type="pct"/>
            <w:vMerge w:val="continue"/>
            <w:vAlign w:val="center"/>
          </w:tcPr>
          <w:p>
            <w:pPr>
              <w:spacing w:line="240" w:lineRule="auto"/>
              <w:ind w:firstLine="420"/>
              <w:jc w:val="center"/>
              <w:rPr>
                <w:sz w:val="21"/>
                <w:szCs w:val="21"/>
              </w:rPr>
            </w:pPr>
          </w:p>
        </w:tc>
        <w:tc>
          <w:tcPr>
            <w:tcW w:w="752" w:type="pct"/>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0+</w:t>
            </w:r>
            <w:r>
              <w:rPr>
                <w:rFonts w:hint="eastAsia"/>
                <w:sz w:val="21"/>
                <w:szCs w:val="21"/>
              </w:rPr>
              <w:t>2</w:t>
            </w:r>
            <w:r>
              <w:rPr>
                <w:sz w:val="21"/>
                <w:szCs w:val="21"/>
              </w:rPr>
              <w:t>00</w:t>
            </w:r>
          </w:p>
        </w:tc>
        <w:tc>
          <w:tcPr>
            <w:tcW w:w="752" w:type="pct"/>
            <w:shd w:val="clear" w:color="auto" w:fill="auto"/>
            <w:vAlign w:val="center"/>
          </w:tcPr>
          <w:p>
            <w:pPr>
              <w:spacing w:line="240" w:lineRule="auto"/>
              <w:ind w:firstLine="0" w:firstLineChars="0"/>
              <w:jc w:val="center"/>
              <w:rPr>
                <w:sz w:val="21"/>
                <w:szCs w:val="21"/>
              </w:rPr>
            </w:pPr>
            <w:r>
              <w:rPr>
                <w:sz w:val="21"/>
                <w:szCs w:val="21"/>
              </w:rPr>
              <w:t>断面六</w:t>
            </w:r>
          </w:p>
        </w:tc>
        <w:tc>
          <w:tcPr>
            <w:tcW w:w="1003" w:type="pct"/>
            <w:shd w:val="clear" w:color="auto" w:fill="auto"/>
            <w:vAlign w:val="center"/>
          </w:tcPr>
          <w:p>
            <w:pPr>
              <w:spacing w:line="240" w:lineRule="auto"/>
              <w:ind w:firstLine="0" w:firstLineChars="0"/>
              <w:jc w:val="center"/>
              <w:rPr>
                <w:sz w:val="21"/>
                <w:szCs w:val="21"/>
              </w:rPr>
            </w:pPr>
            <w:r>
              <w:rPr>
                <w:sz w:val="21"/>
                <w:szCs w:val="21"/>
              </w:rPr>
              <w:t>89.34</w:t>
            </w:r>
          </w:p>
        </w:tc>
        <w:tc>
          <w:tcPr>
            <w:tcW w:w="937" w:type="pct"/>
            <w:shd w:val="clear" w:color="auto" w:fill="auto"/>
            <w:vAlign w:val="center"/>
          </w:tcPr>
          <w:p>
            <w:pPr>
              <w:spacing w:line="240" w:lineRule="auto"/>
              <w:ind w:firstLine="0" w:firstLineChars="0"/>
              <w:jc w:val="center"/>
              <w:rPr>
                <w:sz w:val="21"/>
                <w:szCs w:val="21"/>
              </w:rPr>
            </w:pPr>
            <w:r>
              <w:rPr>
                <w:sz w:val="21"/>
                <w:szCs w:val="21"/>
              </w:rPr>
              <w:t>79.50</w:t>
            </w:r>
          </w:p>
        </w:tc>
        <w:tc>
          <w:tcPr>
            <w:tcW w:w="820" w:type="pct"/>
            <w:shd w:val="clear" w:color="auto" w:fill="auto"/>
            <w:vAlign w:val="center"/>
          </w:tcPr>
          <w:p>
            <w:pPr>
              <w:spacing w:line="240" w:lineRule="auto"/>
              <w:ind w:firstLine="0" w:firstLineChars="0"/>
              <w:jc w:val="center"/>
              <w:rPr>
                <w:sz w:val="21"/>
                <w:szCs w:val="21"/>
              </w:rPr>
            </w:pPr>
            <w:r>
              <w:rPr>
                <w:sz w:val="21"/>
                <w:szCs w:val="21"/>
              </w:rPr>
              <w:t>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67" w:hRule="atLeast"/>
        </w:trPr>
        <w:tc>
          <w:tcPr>
            <w:tcW w:w="732" w:type="pct"/>
            <w:vMerge w:val="continue"/>
            <w:vAlign w:val="center"/>
          </w:tcPr>
          <w:p>
            <w:pPr>
              <w:spacing w:line="240" w:lineRule="auto"/>
              <w:ind w:firstLine="420"/>
              <w:jc w:val="center"/>
              <w:rPr>
                <w:sz w:val="21"/>
                <w:szCs w:val="21"/>
              </w:rPr>
            </w:pPr>
          </w:p>
        </w:tc>
        <w:tc>
          <w:tcPr>
            <w:tcW w:w="752" w:type="pct"/>
            <w:shd w:val="clear" w:color="auto" w:fill="auto"/>
            <w:vAlign w:val="center"/>
          </w:tcPr>
          <w:p>
            <w:pPr>
              <w:spacing w:line="240" w:lineRule="auto"/>
              <w:ind w:firstLine="0" w:firstLineChars="0"/>
              <w:jc w:val="center"/>
              <w:rPr>
                <w:sz w:val="21"/>
                <w:szCs w:val="21"/>
              </w:rPr>
            </w:pPr>
            <w:r>
              <w:rPr>
                <w:rFonts w:hint="eastAsia"/>
                <w:sz w:val="21"/>
                <w:szCs w:val="21"/>
              </w:rPr>
              <w:t>K</w:t>
            </w:r>
            <w:r>
              <w:rPr>
                <w:sz w:val="21"/>
                <w:szCs w:val="21"/>
              </w:rPr>
              <w:t>0+</w:t>
            </w:r>
            <w:r>
              <w:rPr>
                <w:rFonts w:hint="eastAsia"/>
                <w:sz w:val="21"/>
                <w:szCs w:val="21"/>
              </w:rPr>
              <w:t>0</w:t>
            </w:r>
            <w:r>
              <w:rPr>
                <w:sz w:val="21"/>
                <w:szCs w:val="21"/>
              </w:rPr>
              <w:t>00</w:t>
            </w:r>
          </w:p>
        </w:tc>
        <w:tc>
          <w:tcPr>
            <w:tcW w:w="752" w:type="pct"/>
            <w:shd w:val="clear" w:color="auto" w:fill="auto"/>
            <w:vAlign w:val="center"/>
          </w:tcPr>
          <w:p>
            <w:pPr>
              <w:spacing w:line="240" w:lineRule="auto"/>
              <w:ind w:firstLine="0" w:firstLineChars="0"/>
              <w:jc w:val="center"/>
              <w:rPr>
                <w:sz w:val="21"/>
                <w:szCs w:val="21"/>
              </w:rPr>
            </w:pPr>
            <w:r>
              <w:rPr>
                <w:sz w:val="21"/>
                <w:szCs w:val="21"/>
              </w:rPr>
              <w:t>断面七</w:t>
            </w:r>
          </w:p>
        </w:tc>
        <w:tc>
          <w:tcPr>
            <w:tcW w:w="1003" w:type="pct"/>
            <w:shd w:val="clear" w:color="auto" w:fill="auto"/>
            <w:vAlign w:val="center"/>
          </w:tcPr>
          <w:p>
            <w:pPr>
              <w:spacing w:line="240" w:lineRule="auto"/>
              <w:ind w:firstLine="0" w:firstLineChars="0"/>
              <w:jc w:val="center"/>
              <w:rPr>
                <w:sz w:val="21"/>
                <w:szCs w:val="21"/>
              </w:rPr>
            </w:pPr>
            <w:r>
              <w:rPr>
                <w:sz w:val="21"/>
                <w:szCs w:val="21"/>
              </w:rPr>
              <w:t>86.14</w:t>
            </w:r>
          </w:p>
        </w:tc>
        <w:tc>
          <w:tcPr>
            <w:tcW w:w="937" w:type="pct"/>
            <w:shd w:val="clear" w:color="auto" w:fill="auto"/>
            <w:vAlign w:val="center"/>
          </w:tcPr>
          <w:p>
            <w:pPr>
              <w:spacing w:line="240" w:lineRule="auto"/>
              <w:ind w:firstLine="0" w:firstLineChars="0"/>
              <w:jc w:val="center"/>
              <w:rPr>
                <w:sz w:val="21"/>
                <w:szCs w:val="21"/>
              </w:rPr>
            </w:pPr>
            <w:r>
              <w:rPr>
                <w:sz w:val="21"/>
                <w:szCs w:val="21"/>
              </w:rPr>
              <w:t>77.58</w:t>
            </w:r>
          </w:p>
        </w:tc>
        <w:tc>
          <w:tcPr>
            <w:tcW w:w="820" w:type="pct"/>
            <w:shd w:val="clear" w:color="auto" w:fill="auto"/>
            <w:vAlign w:val="center"/>
          </w:tcPr>
          <w:p>
            <w:pPr>
              <w:spacing w:line="240" w:lineRule="auto"/>
              <w:ind w:firstLine="0" w:firstLineChars="0"/>
              <w:jc w:val="center"/>
              <w:rPr>
                <w:sz w:val="21"/>
                <w:szCs w:val="21"/>
              </w:rPr>
            </w:pPr>
            <w:r>
              <w:rPr>
                <w:sz w:val="21"/>
                <w:szCs w:val="21"/>
              </w:rPr>
              <w:t>9.93</w:t>
            </w:r>
          </w:p>
        </w:tc>
      </w:tr>
    </w:tbl>
    <w:p>
      <w:pPr>
        <w:pStyle w:val="152"/>
        <w:rPr>
          <w:rFonts w:eastAsia="宋体" w:cs="Times New Roman"/>
          <w:bCs w:val="0"/>
        </w:rPr>
      </w:pPr>
      <w:r>
        <w:rPr>
          <w:rFonts w:eastAsia="宋体" w:cs="Times New Roman"/>
          <w:bCs w:val="0"/>
        </w:rPr>
        <w:t>由表</w:t>
      </w:r>
      <w:r>
        <w:rPr>
          <w:rFonts w:hint="eastAsia" w:eastAsia="宋体" w:cs="Times New Roman"/>
          <w:bCs w:val="0"/>
        </w:rPr>
        <w:t>3</w:t>
      </w:r>
      <w:r>
        <w:rPr>
          <w:rFonts w:eastAsia="宋体" w:cs="Times New Roman"/>
          <w:bCs w:val="0"/>
        </w:rPr>
        <w:t>-3可以得知，</w:t>
      </w:r>
      <w:r>
        <w:rPr>
          <w:rFonts w:hint="eastAsia" w:eastAsia="宋体" w:cs="Times New Roman"/>
          <w:bCs w:val="0"/>
        </w:rPr>
        <w:t>同一断面同一频率下的洪峰流量，</w:t>
      </w:r>
      <w:r>
        <w:rPr>
          <w:rFonts w:eastAsia="宋体" w:cs="Times New Roman"/>
          <w:bCs w:val="0"/>
        </w:rPr>
        <w:t>利用单位线法和推理公式方法计算值相差值（分母为大值）均在20%以内，</w:t>
      </w:r>
      <w:r>
        <w:rPr>
          <w:rFonts w:hint="eastAsia" w:eastAsia="宋体" w:cs="Times New Roman"/>
          <w:bCs w:val="0"/>
        </w:rPr>
        <w:t>可见利用广东水利平台软件的综合单位线法计算出来的结果能够满足精度要求，从安全的角度考虑，设计洪水选用综合单位线法计算出来的成果进行下一步计算。</w:t>
      </w:r>
    </w:p>
    <w:p>
      <w:pPr>
        <w:keepNext/>
        <w:keepLines/>
        <w:spacing w:before="156" w:beforeLines="50"/>
        <w:ind w:firstLine="0" w:firstLineChars="0"/>
        <w:jc w:val="left"/>
        <w:textAlignment w:val="baseline"/>
        <w:outlineLvl w:val="1"/>
        <w:rPr>
          <w:rFonts w:cs="Times New Roman"/>
          <w:b/>
          <w:szCs w:val="28"/>
        </w:rPr>
      </w:pPr>
      <w:bookmarkStart w:id="27" w:name="_Toc56103695"/>
      <w:r>
        <w:rPr>
          <w:rFonts w:hint="eastAsia" w:cs="Times New Roman"/>
          <w:b/>
          <w:szCs w:val="28"/>
        </w:rPr>
        <w:t>3</w:t>
      </w:r>
      <w:r>
        <w:rPr>
          <w:rFonts w:cs="Times New Roman"/>
          <w:b/>
          <w:szCs w:val="28"/>
        </w:rPr>
        <w:t>.3合理性检查</w:t>
      </w:r>
      <w:bookmarkEnd w:id="27"/>
    </w:p>
    <w:p>
      <w:pPr>
        <w:pStyle w:val="152"/>
        <w:rPr>
          <w:rFonts w:eastAsia="宋体" w:cs="Times New Roman"/>
          <w:bCs w:val="0"/>
        </w:rPr>
      </w:pPr>
      <w:r>
        <w:rPr>
          <w:rFonts w:eastAsia="宋体" w:cs="Times New Roman"/>
          <w:bCs w:val="0"/>
        </w:rPr>
        <w:t>邻近</w:t>
      </w:r>
      <w:r>
        <w:rPr>
          <w:rFonts w:hint="eastAsia" w:eastAsia="宋体" w:cs="Times New Roman"/>
          <w:bCs w:val="0"/>
        </w:rPr>
        <w:t>本工程有陆丰市巷口水库除险加固工程，</w:t>
      </w:r>
      <w:r>
        <w:rPr>
          <w:rFonts w:eastAsia="宋体" w:cs="Times New Roman"/>
          <w:bCs w:val="0"/>
        </w:rPr>
        <w:t>巷口水库于2009年进行除险加固设计。</w:t>
      </w:r>
      <w:r>
        <w:rPr>
          <w:rFonts w:hint="eastAsia" w:eastAsia="宋体" w:cs="Times New Roman"/>
          <w:bCs w:val="0"/>
        </w:rPr>
        <w:t>根据《广东省陆丰市巷口水库除险加固工程初步设计水文、水能专项报告》（汕头市水利水电勘测设计院），</w:t>
      </w:r>
      <w:r>
        <w:rPr>
          <w:rFonts w:eastAsia="宋体" w:cs="Times New Roman"/>
          <w:bCs w:val="0"/>
        </w:rPr>
        <w:t>将港仔溪断面一设计洪水与巷口水库洪水进行比较，采用洪峰模数方法</w:t>
      </w:r>
      <w:r>
        <w:rPr>
          <w:rFonts w:hint="eastAsia" w:eastAsia="宋体" w:cs="Times New Roman"/>
          <w:bCs w:val="0"/>
        </w:rPr>
        <w:t>，</w:t>
      </w:r>
      <w:r>
        <w:rPr>
          <w:rFonts w:eastAsia="宋体" w:cs="Times New Roman"/>
          <w:bCs w:val="0"/>
        </w:rPr>
        <w:t>论证本工程设计洪水合理性。</w:t>
      </w:r>
    </w:p>
    <w:p>
      <w:pPr>
        <w:pStyle w:val="152"/>
        <w:rPr>
          <w:rFonts w:eastAsia="宋体" w:cs="Times New Roman"/>
          <w:bCs w:val="0"/>
        </w:rPr>
      </w:pPr>
      <w:r>
        <w:rPr>
          <w:rFonts w:eastAsia="宋体" w:cs="Times New Roman"/>
          <w:bCs w:val="0"/>
        </w:rPr>
        <w:t>洪峰模数采用下式进行计算：M=Q/Fn</w:t>
      </w:r>
    </w:p>
    <w:p>
      <w:pPr>
        <w:pStyle w:val="152"/>
        <w:rPr>
          <w:rFonts w:eastAsia="宋体" w:cs="Times New Roman"/>
          <w:bCs w:val="0"/>
        </w:rPr>
      </w:pPr>
      <w:r>
        <w:rPr>
          <w:rFonts w:eastAsia="宋体" w:cs="Times New Roman"/>
          <w:bCs w:val="0"/>
        </w:rPr>
        <w:t>式中：M——洪峰模数；</w:t>
      </w:r>
    </w:p>
    <w:p>
      <w:pPr>
        <w:pStyle w:val="152"/>
        <w:rPr>
          <w:rFonts w:eastAsia="宋体" w:cs="Times New Roman"/>
          <w:bCs w:val="0"/>
        </w:rPr>
      </w:pPr>
      <w:r>
        <w:rPr>
          <w:rFonts w:eastAsia="宋体" w:cs="Times New Roman"/>
          <w:bCs w:val="0"/>
        </w:rPr>
        <w:t xml:space="preserve">      Q——洪峰流量（m3/s）；</w:t>
      </w:r>
    </w:p>
    <w:p>
      <w:pPr>
        <w:pStyle w:val="152"/>
        <w:rPr>
          <w:rFonts w:eastAsia="宋体" w:cs="Times New Roman"/>
          <w:bCs w:val="0"/>
        </w:rPr>
      </w:pPr>
      <w:r>
        <w:rPr>
          <w:rFonts w:eastAsia="宋体" w:cs="Times New Roman"/>
          <w:bCs w:val="0"/>
        </w:rPr>
        <w:t xml:space="preserve">      F——集雨面积（km2）；</w:t>
      </w:r>
    </w:p>
    <w:p>
      <w:pPr>
        <w:pStyle w:val="152"/>
        <w:rPr>
          <w:rFonts w:eastAsia="宋体" w:cs="Times New Roman"/>
          <w:bCs w:val="0"/>
        </w:rPr>
      </w:pPr>
      <w:r>
        <w:rPr>
          <w:rFonts w:eastAsia="宋体" w:cs="Times New Roman"/>
          <w:bCs w:val="0"/>
        </w:rPr>
        <w:t xml:space="preserve">      n——地区性经验系数：取2/3。</w:t>
      </w:r>
    </w:p>
    <w:p>
      <w:pPr>
        <w:pStyle w:val="152"/>
        <w:rPr>
          <w:rFonts w:eastAsia="宋体" w:cs="Times New Roman"/>
          <w:bCs w:val="0"/>
        </w:rPr>
      </w:pPr>
      <w:r>
        <w:rPr>
          <w:rFonts w:eastAsia="宋体" w:cs="Times New Roman"/>
          <w:bCs w:val="0"/>
        </w:rPr>
        <w:t>比较结果详见表</w:t>
      </w:r>
      <w:r>
        <w:rPr>
          <w:rFonts w:hint="eastAsia" w:eastAsia="宋体" w:cs="Times New Roman"/>
          <w:bCs w:val="0"/>
        </w:rPr>
        <w:t>3</w:t>
      </w:r>
      <w:r>
        <w:rPr>
          <w:rFonts w:eastAsia="宋体" w:cs="Times New Roman"/>
          <w:bCs w:val="0"/>
        </w:rPr>
        <w:t>-4。</w:t>
      </w:r>
    </w:p>
    <w:p>
      <w:pPr>
        <w:spacing w:before="312" w:beforeLines="100"/>
        <w:ind w:firstLine="0" w:firstLineChars="0"/>
        <w:jc w:val="center"/>
        <w:rPr>
          <w:rFonts w:cs="Times New Roman"/>
          <w:b/>
          <w:sz w:val="21"/>
          <w:szCs w:val="21"/>
        </w:rPr>
      </w:pPr>
      <w:r>
        <w:rPr>
          <w:rFonts w:cs="Times New Roman"/>
          <w:b/>
          <w:sz w:val="21"/>
          <w:szCs w:val="21"/>
        </w:rPr>
        <w:t>表</w:t>
      </w:r>
      <w:r>
        <w:rPr>
          <w:rFonts w:hint="eastAsia" w:cs="Times New Roman"/>
          <w:b/>
          <w:sz w:val="21"/>
          <w:szCs w:val="21"/>
        </w:rPr>
        <w:t>3</w:t>
      </w:r>
      <w:r>
        <w:rPr>
          <w:rFonts w:cs="Times New Roman"/>
          <w:b/>
          <w:sz w:val="21"/>
          <w:szCs w:val="21"/>
        </w:rPr>
        <w:t>-4  洪水成果合理性论证表</w:t>
      </w:r>
    </w:p>
    <w:tbl>
      <w:tblPr>
        <w:tblStyle w:val="27"/>
        <w:tblW w:w="5000" w:type="pct"/>
        <w:jc w:val="center"/>
        <w:tblLayout w:type="autofit"/>
        <w:tblCellMar>
          <w:top w:w="0" w:type="dxa"/>
          <w:left w:w="108" w:type="dxa"/>
          <w:bottom w:w="0" w:type="dxa"/>
          <w:right w:w="108" w:type="dxa"/>
        </w:tblCellMar>
      </w:tblPr>
      <w:tblGrid>
        <w:gridCol w:w="3973"/>
        <w:gridCol w:w="2037"/>
        <w:gridCol w:w="3276"/>
      </w:tblGrid>
      <w:tr>
        <w:tblPrEx>
          <w:tblCellMar>
            <w:top w:w="0" w:type="dxa"/>
            <w:left w:w="108" w:type="dxa"/>
            <w:bottom w:w="0" w:type="dxa"/>
            <w:right w:w="108" w:type="dxa"/>
          </w:tblCellMar>
        </w:tblPrEx>
        <w:trPr>
          <w:trHeight w:val="285" w:hRule="atLeast"/>
          <w:jc w:val="center"/>
        </w:trPr>
        <w:tc>
          <w:tcPr>
            <w:tcW w:w="21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项目</w:t>
            </w:r>
          </w:p>
        </w:tc>
        <w:tc>
          <w:tcPr>
            <w:tcW w:w="109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巷口水库</w:t>
            </w:r>
          </w:p>
        </w:tc>
        <w:tc>
          <w:tcPr>
            <w:tcW w:w="1764"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r>
              <w:rPr>
                <w:color w:val="000000"/>
                <w:kern w:val="0"/>
                <w:sz w:val="21"/>
                <w:szCs w:val="21"/>
              </w:rPr>
              <w:t>港仔溪断面一</w:t>
            </w:r>
          </w:p>
        </w:tc>
      </w:tr>
      <w:tr>
        <w:tblPrEx>
          <w:tblCellMar>
            <w:top w:w="0" w:type="dxa"/>
            <w:left w:w="108" w:type="dxa"/>
            <w:bottom w:w="0" w:type="dxa"/>
            <w:right w:w="108" w:type="dxa"/>
          </w:tblCellMar>
        </w:tblPrEx>
        <w:trPr>
          <w:trHeight w:val="330" w:hRule="atLeast"/>
          <w:jc w:val="center"/>
        </w:trPr>
        <w:tc>
          <w:tcPr>
            <w:tcW w:w="2139"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面积（</w:t>
            </w:r>
            <w:r>
              <w:rPr>
                <w:kern w:val="0"/>
                <w:sz w:val="21"/>
                <w:szCs w:val="21"/>
              </w:rPr>
              <w:t>km</w:t>
            </w:r>
            <w:r>
              <w:rPr>
                <w:kern w:val="0"/>
                <w:sz w:val="21"/>
                <w:szCs w:val="21"/>
                <w:vertAlign w:val="superscript"/>
              </w:rPr>
              <w:t>2</w:t>
            </w:r>
            <w:r>
              <w:rPr>
                <w:color w:val="000000"/>
                <w:kern w:val="0"/>
                <w:sz w:val="21"/>
                <w:szCs w:val="21"/>
              </w:rPr>
              <w:t>）</w:t>
            </w:r>
          </w:p>
        </w:tc>
        <w:tc>
          <w:tcPr>
            <w:tcW w:w="109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59.2</w:t>
            </w:r>
          </w:p>
        </w:tc>
        <w:tc>
          <w:tcPr>
            <w:tcW w:w="1764"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r>
              <w:rPr>
                <w:color w:val="000000"/>
                <w:kern w:val="0"/>
                <w:sz w:val="21"/>
                <w:szCs w:val="21"/>
              </w:rPr>
              <w:t>17.917</w:t>
            </w:r>
          </w:p>
        </w:tc>
      </w:tr>
      <w:tr>
        <w:tblPrEx>
          <w:tblCellMar>
            <w:top w:w="0" w:type="dxa"/>
            <w:left w:w="108" w:type="dxa"/>
            <w:bottom w:w="0" w:type="dxa"/>
            <w:right w:w="108" w:type="dxa"/>
          </w:tblCellMar>
        </w:tblPrEx>
        <w:trPr>
          <w:trHeight w:val="330" w:hRule="atLeast"/>
          <w:jc w:val="center"/>
        </w:trPr>
        <w:tc>
          <w:tcPr>
            <w:tcW w:w="2139"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频率2%洪峰(</w:t>
            </w:r>
            <w:r>
              <w:rPr>
                <w:kern w:val="0"/>
                <w:sz w:val="21"/>
                <w:szCs w:val="21"/>
              </w:rPr>
              <w:t>m</w:t>
            </w:r>
            <w:r>
              <w:rPr>
                <w:kern w:val="0"/>
                <w:sz w:val="21"/>
                <w:szCs w:val="21"/>
                <w:vertAlign w:val="superscript"/>
              </w:rPr>
              <w:t>3</w:t>
            </w:r>
            <w:r>
              <w:rPr>
                <w:kern w:val="0"/>
                <w:sz w:val="21"/>
                <w:szCs w:val="21"/>
              </w:rPr>
              <w:t>/s</w:t>
            </w:r>
            <w:r>
              <w:rPr>
                <w:color w:val="000000"/>
                <w:kern w:val="0"/>
                <w:sz w:val="21"/>
                <w:szCs w:val="21"/>
              </w:rPr>
              <w:t>)</w:t>
            </w:r>
          </w:p>
        </w:tc>
        <w:tc>
          <w:tcPr>
            <w:tcW w:w="109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1036.2</w:t>
            </w:r>
          </w:p>
        </w:tc>
        <w:tc>
          <w:tcPr>
            <w:tcW w:w="1764"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r>
              <w:rPr>
                <w:color w:val="000000"/>
                <w:kern w:val="0"/>
                <w:sz w:val="21"/>
                <w:szCs w:val="21"/>
              </w:rPr>
              <w:t>352.76</w:t>
            </w:r>
          </w:p>
        </w:tc>
      </w:tr>
      <w:tr>
        <w:tblPrEx>
          <w:tblCellMar>
            <w:top w:w="0" w:type="dxa"/>
            <w:left w:w="108" w:type="dxa"/>
            <w:bottom w:w="0" w:type="dxa"/>
            <w:right w:w="108" w:type="dxa"/>
          </w:tblCellMar>
        </w:tblPrEx>
        <w:trPr>
          <w:trHeight w:val="300" w:hRule="atLeast"/>
          <w:jc w:val="center"/>
        </w:trPr>
        <w:tc>
          <w:tcPr>
            <w:tcW w:w="2139"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color w:val="000000"/>
                <w:kern w:val="0"/>
                <w:sz w:val="21"/>
                <w:szCs w:val="21"/>
              </w:rPr>
            </w:pPr>
            <w:r>
              <w:rPr>
                <w:color w:val="000000"/>
                <w:kern w:val="0"/>
                <w:sz w:val="21"/>
                <w:szCs w:val="21"/>
              </w:rPr>
              <w:t>洪峰模数（Q/F0.75）</w:t>
            </w:r>
          </w:p>
        </w:tc>
        <w:tc>
          <w:tcPr>
            <w:tcW w:w="109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48.55</w:t>
            </w:r>
          </w:p>
        </w:tc>
        <w:tc>
          <w:tcPr>
            <w:tcW w:w="1764" w:type="pct"/>
            <w:tcBorders>
              <w:top w:val="nil"/>
              <w:left w:val="nil"/>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r>
              <w:rPr>
                <w:color w:val="000000"/>
                <w:kern w:val="0"/>
                <w:sz w:val="21"/>
                <w:szCs w:val="21"/>
              </w:rPr>
              <w:t>51.52</w:t>
            </w:r>
          </w:p>
        </w:tc>
      </w:tr>
    </w:tbl>
    <w:p>
      <w:pPr>
        <w:pStyle w:val="152"/>
        <w:rPr>
          <w:rFonts w:eastAsia="宋体" w:cs="Times New Roman"/>
          <w:bCs w:val="0"/>
        </w:rPr>
      </w:pPr>
      <w:r>
        <w:rPr>
          <w:rFonts w:eastAsia="宋体" w:cs="Times New Roman"/>
          <w:bCs w:val="0"/>
        </w:rPr>
        <w:t>巷口水库、港仔溪两者频率为2%的洪峰模数十分接近，因此，此次设计洪水计算的结果是合理的。</w:t>
      </w:r>
    </w:p>
    <w:p>
      <w:pPr>
        <w:keepNext/>
        <w:keepLines/>
        <w:spacing w:before="156" w:beforeLines="50"/>
        <w:ind w:firstLine="0" w:firstLineChars="0"/>
        <w:jc w:val="left"/>
        <w:textAlignment w:val="baseline"/>
        <w:outlineLvl w:val="1"/>
        <w:rPr>
          <w:rFonts w:cs="Times New Roman"/>
          <w:b/>
          <w:szCs w:val="28"/>
        </w:rPr>
      </w:pPr>
      <w:bookmarkStart w:id="28" w:name="_Toc56103696"/>
      <w:bookmarkStart w:id="29" w:name="_Toc56101832"/>
      <w:r>
        <w:rPr>
          <w:rFonts w:cs="Times New Roman"/>
          <w:b/>
          <w:szCs w:val="28"/>
        </w:rPr>
        <w:t>3.4 水面线计算</w:t>
      </w:r>
      <w:bookmarkEnd w:id="28"/>
      <w:bookmarkEnd w:id="29"/>
    </w:p>
    <w:p>
      <w:pPr>
        <w:ind w:firstLine="560"/>
        <w:rPr>
          <w:rFonts w:cs="Times New Roman"/>
        </w:rPr>
      </w:pPr>
      <w:r>
        <w:rPr>
          <w:rFonts w:hint="eastAsia" w:cs="Times New Roman"/>
        </w:rPr>
        <w:t>（1）</w:t>
      </w:r>
      <w:r>
        <w:rPr>
          <w:rFonts w:cs="Times New Roman"/>
        </w:rPr>
        <w:t>基本资料</w:t>
      </w:r>
    </w:p>
    <w:p>
      <w:pPr>
        <w:ind w:firstLine="560"/>
        <w:rPr>
          <w:rFonts w:cs="Times New Roman"/>
        </w:rPr>
      </w:pPr>
      <w:r>
        <w:rPr>
          <w:rFonts w:cs="Times New Roman"/>
        </w:rPr>
        <w:t>高程系：根据测量资料本工程采用</w:t>
      </w:r>
      <w:r>
        <w:rPr>
          <w:rFonts w:hint="eastAsia" w:cs="Times New Roman"/>
        </w:rPr>
        <w:t>1985国家基准高程系</w:t>
      </w:r>
      <w:r>
        <w:rPr>
          <w:rFonts w:cs="Times New Roman"/>
        </w:rPr>
        <w:t>。</w:t>
      </w:r>
    </w:p>
    <w:p>
      <w:pPr>
        <w:ind w:firstLine="560"/>
        <w:rPr>
          <w:rFonts w:cs="Times New Roman"/>
        </w:rPr>
      </w:pPr>
      <w:r>
        <w:rPr>
          <w:rFonts w:cs="Times New Roman"/>
        </w:rPr>
        <w:t>河道断面：本工程初步设计阶段对治理河段及上下游河道的横断面进行了实地测量，本次水面线计算涉及到的河道长度为</w:t>
      </w:r>
      <w:r>
        <w:rPr>
          <w:rFonts w:hint="eastAsia" w:cs="Times New Roman"/>
        </w:rPr>
        <w:t>4.783</w:t>
      </w:r>
      <w:r>
        <w:rPr>
          <w:rFonts w:cs="Times New Roman"/>
        </w:rPr>
        <w:t>km；根据河道特性选取河道断面，相邻断面间距为50~100m。</w:t>
      </w:r>
    </w:p>
    <w:p>
      <w:pPr>
        <w:ind w:firstLine="560"/>
        <w:rPr>
          <w:rFonts w:cs="Times New Roman"/>
        </w:rPr>
      </w:pPr>
      <w:r>
        <w:rPr>
          <w:rFonts w:cs="Times New Roman"/>
        </w:rPr>
        <w:t>起始水位</w:t>
      </w:r>
      <w:r>
        <w:rPr>
          <w:rFonts w:hint="eastAsia" w:cs="Times New Roman"/>
        </w:rPr>
        <w:t>：</w:t>
      </w:r>
    </w:p>
    <w:p>
      <w:pPr>
        <w:ind w:firstLine="560"/>
        <w:rPr>
          <w:rFonts w:cs="Times New Roman"/>
        </w:rPr>
      </w:pPr>
      <w:r>
        <w:rPr>
          <w:rFonts w:hint="eastAsia" w:cs="Times New Roman"/>
        </w:rPr>
        <w:t>本次水面线推求分为河道整治前水面线推求和河道整治后水面线推求，两种情况线的起推水位确定如下：</w:t>
      </w:r>
    </w:p>
    <w:p>
      <w:pPr>
        <w:ind w:firstLine="560"/>
        <w:rPr>
          <w:rFonts w:cs="Times New Roman"/>
        </w:rPr>
      </w:pPr>
      <w:r>
        <w:rPr>
          <w:rFonts w:hint="eastAsia" w:cs="Times New Roman"/>
        </w:rPr>
        <w:t>1）河道整治前，根据工程实际情况和计算需要，应在河道桩号K2</w:t>
      </w:r>
      <w:r>
        <w:rPr>
          <w:rFonts w:cs="Times New Roman"/>
        </w:rPr>
        <w:t>+</w:t>
      </w:r>
      <w:r>
        <w:rPr>
          <w:rFonts w:hint="eastAsia" w:cs="Times New Roman"/>
        </w:rPr>
        <w:t>750、K2+600、K1+500处别取设计断面，以上几处均位于河道顺直、水流平稳以及坡度较缓处，水流形态为缓流并且接近均匀流，在进行设计断面水位流量关系计算时，可大致认为该几处水流均为明渠均匀流。采用广东省水文水利计算平台软件计算设计断面水位～流量关系曲线，</w:t>
      </w:r>
      <w:r>
        <w:rPr>
          <w:rFonts w:cs="Times New Roman"/>
        </w:rPr>
        <w:t>根据此曲线</w:t>
      </w:r>
      <w:r>
        <w:rPr>
          <w:rFonts w:hint="eastAsia" w:cs="Times New Roman"/>
        </w:rPr>
        <w:t>查</w:t>
      </w:r>
      <w:r>
        <w:rPr>
          <w:rFonts w:cs="Times New Roman"/>
        </w:rPr>
        <w:t>得起</w:t>
      </w:r>
      <w:r>
        <w:rPr>
          <w:rFonts w:hint="eastAsia" w:cs="Times New Roman"/>
        </w:rPr>
        <w:t>推</w:t>
      </w:r>
      <w:r>
        <w:rPr>
          <w:rFonts w:cs="Times New Roman"/>
        </w:rPr>
        <w:t>水位</w:t>
      </w:r>
      <w:r>
        <w:rPr>
          <w:rFonts w:hint="eastAsia" w:cs="Times New Roman"/>
        </w:rPr>
        <w:t>分别</w:t>
      </w:r>
      <w:r>
        <w:rPr>
          <w:rFonts w:cs="Times New Roman"/>
        </w:rPr>
        <w:t>为</w:t>
      </w:r>
      <w:r>
        <w:rPr>
          <w:rFonts w:hint="eastAsia" w:cs="Times New Roman"/>
        </w:rPr>
        <w:t>：8.19m（K2+750）、9.87m（K2+600）、12.18m（K1+500）。</w:t>
      </w:r>
    </w:p>
    <w:p>
      <w:pPr>
        <w:ind w:firstLine="560"/>
        <w:rPr>
          <w:rFonts w:cs="Times New Roman"/>
        </w:rPr>
      </w:pPr>
      <w:r>
        <w:rPr>
          <w:rFonts w:hint="eastAsia" w:cs="Times New Roman"/>
        </w:rPr>
        <w:t>2）河道整治后，根据整治方案和治理结果，结合工程实际情况，同样在河道桩号K2</w:t>
      </w:r>
      <w:r>
        <w:rPr>
          <w:rFonts w:cs="Times New Roman"/>
        </w:rPr>
        <w:t>+</w:t>
      </w:r>
      <w:r>
        <w:rPr>
          <w:rFonts w:hint="eastAsia" w:cs="Times New Roman"/>
        </w:rPr>
        <w:t>750、K2+600、K1+500处分别取设计断面。水面线起推水位确定方法与治理前起推水位确定方法相同，最终得出各段水面线起推水位分别为：8.19m（K2+750）、9.87m（K2+600）、12.18m（K1+500）。</w:t>
      </w:r>
    </w:p>
    <w:p>
      <w:pPr>
        <w:ind w:firstLine="560"/>
        <w:rPr>
          <w:rFonts w:cs="Times New Roman"/>
        </w:rPr>
      </w:pPr>
      <w:r>
        <w:rPr>
          <w:rFonts w:cs="Times New Roman"/>
        </w:rPr>
        <w:t>河道上存在的雍水建筑物主要为桥和水陂，其计算方法如下：</w:t>
      </w:r>
    </w:p>
    <w:p>
      <w:pPr>
        <w:ind w:firstLine="560"/>
        <w:rPr>
          <w:rFonts w:cs="Times New Roman"/>
        </w:rPr>
      </w:pPr>
      <w:r>
        <w:rPr>
          <w:rFonts w:cs="Times New Roman"/>
        </w:rPr>
        <w:t>桥：参考《水力计算手册》在对河流水面线进行计算时，有桥梁的位置考虑局部水头损失，局部水头损失计算公式如下：</w:t>
      </w:r>
    </w:p>
    <w:p>
      <w:pPr>
        <w:ind w:firstLine="560"/>
        <w:rPr>
          <w:rFonts w:cs="Times New Roman"/>
        </w:rPr>
      </w:pPr>
      <w:r>
        <w:rPr>
          <w:rFonts w:cs="Times New Roman"/>
        </w:rPr>
        <w:pict>
          <v:shape id="_x0000_i1026" o:spt="75" type="#_x0000_t75" style="height:36pt;width:51.75pt;" filled="f" o:preferrelative="t" stroked="f" coordsize="21600,21600">
            <v:path/>
            <v:fill on="f" focussize="0,0"/>
            <v:stroke on="f" joinstyle="miter"/>
            <v:imagedata r:id="rId27" o:title=""/>
            <o:lock v:ext="edit" aspectratio="t"/>
            <w10:wrap type="none"/>
            <w10:anchorlock/>
          </v:shape>
        </w:pict>
      </w:r>
    </w:p>
    <w:p>
      <w:pPr>
        <w:ind w:firstLine="560"/>
        <w:rPr>
          <w:rFonts w:cs="Times New Roman"/>
        </w:rPr>
      </w:pPr>
      <w:r>
        <w:rPr>
          <w:rFonts w:cs="Times New Roman"/>
        </w:rPr>
        <w:t>式中：hj——桥墩阻力的局部水头损失；</w:t>
      </w:r>
    </w:p>
    <w:p>
      <w:pPr>
        <w:ind w:firstLine="560"/>
        <w:rPr>
          <w:rFonts w:cs="Times New Roman"/>
        </w:rPr>
      </w:pPr>
      <w:r>
        <w:rPr>
          <w:rFonts w:cs="Times New Roman"/>
        </w:rPr>
        <w:t>ζ——局部水头损失系数；</w:t>
      </w:r>
    </w:p>
    <w:p>
      <w:pPr>
        <w:ind w:firstLine="560"/>
        <w:rPr>
          <w:rFonts w:cs="Times New Roman"/>
        </w:rPr>
      </w:pPr>
      <w:r>
        <w:rPr>
          <w:rFonts w:hint="eastAsia" w:cs="Times New Roman"/>
        </w:rPr>
        <w:t>V1</w:t>
      </w:r>
      <w:r>
        <w:rPr>
          <w:rFonts w:cs="Times New Roman"/>
        </w:rPr>
        <w:t>——紧接桥墩处的断面平均流速；</w:t>
      </w:r>
    </w:p>
    <w:p>
      <w:pPr>
        <w:ind w:firstLine="560"/>
        <w:rPr>
          <w:rFonts w:cs="Times New Roman"/>
        </w:rPr>
      </w:pPr>
      <w:r>
        <w:rPr>
          <w:rFonts w:cs="Times New Roman"/>
        </w:rPr>
        <w:t>水陂：水陂下游水位均采用下游距离水陂最近断面处的计算水位，经过试算计算出相应过流能力下的堰上水头，进而确定水陂上游距离水陂最近断面的水位。水力计算采用相应的堰流公式进行计算，计算公式如下：</w:t>
      </w:r>
    </w:p>
    <w:p>
      <w:pPr>
        <w:ind w:firstLine="560"/>
        <w:rPr>
          <w:rFonts w:cs="Times New Roman"/>
        </w:rPr>
      </w:pPr>
      <w:r>
        <w:rPr>
          <w:rFonts w:cs="Times New Roman"/>
        </w:rPr>
        <w:pict>
          <v:shape id="_x0000_i1027" o:spt="75" type="#_x0000_t75" style="height:21.75pt;width:116.25pt;" filled="f" o:preferrelative="t" stroked="f" coordsize="21600,21600">
            <v:path/>
            <v:fill on="f" focussize="0,0"/>
            <v:stroke on="f" joinstyle="miter"/>
            <v:imagedata r:id="rId28" o:title=""/>
            <o:lock v:ext="edit" aspectratio="t"/>
            <w10:wrap type="none"/>
            <w10:anchorlock/>
          </v:shape>
        </w:pict>
      </w:r>
    </w:p>
    <w:p>
      <w:pPr>
        <w:ind w:firstLine="560"/>
        <w:rPr>
          <w:rFonts w:cs="Times New Roman"/>
        </w:rPr>
      </w:pPr>
      <w:r>
        <w:rPr>
          <w:rFonts w:cs="Times New Roman"/>
        </w:rPr>
        <w:t>式中：σ</w:t>
      </w:r>
      <w:r>
        <w:rPr>
          <w:rFonts w:hint="eastAsia" w:cs="Times New Roman"/>
        </w:rPr>
        <w:t>s</w:t>
      </w:r>
      <w:r>
        <w:rPr>
          <w:rFonts w:cs="Times New Roman"/>
        </w:rPr>
        <w:t>——淹没系数；</w:t>
      </w:r>
    </w:p>
    <w:p>
      <w:pPr>
        <w:ind w:firstLine="560"/>
        <w:rPr>
          <w:rFonts w:cs="Times New Roman"/>
        </w:rPr>
      </w:pPr>
      <w:r>
        <w:rPr>
          <w:rFonts w:cs="Times New Roman"/>
        </w:rPr>
        <w:t xml:space="preserve">      σ</w:t>
      </w:r>
      <w:r>
        <w:rPr>
          <w:rFonts w:hint="eastAsia" w:cs="Times New Roman"/>
        </w:rPr>
        <w:t>c</w:t>
      </w:r>
      <w:r>
        <w:rPr>
          <w:rFonts w:cs="Times New Roman"/>
        </w:rPr>
        <w:t>——侧收缩系数；</w:t>
      </w:r>
    </w:p>
    <w:p>
      <w:pPr>
        <w:ind w:firstLine="560"/>
        <w:rPr>
          <w:rFonts w:cs="Times New Roman"/>
        </w:rPr>
      </w:pPr>
      <w:r>
        <w:rPr>
          <w:rFonts w:cs="Times New Roman"/>
        </w:rPr>
        <w:t xml:space="preserve">      m——自由出流的流量系数；</w:t>
      </w:r>
    </w:p>
    <w:p>
      <w:pPr>
        <w:ind w:firstLine="560"/>
        <w:rPr>
          <w:rFonts w:cs="Times New Roman"/>
        </w:rPr>
      </w:pPr>
      <w:r>
        <w:rPr>
          <w:rFonts w:cs="Times New Roman"/>
        </w:rPr>
        <w:t xml:space="preserve">      n——闸孔孔数；</w:t>
      </w:r>
    </w:p>
    <w:p>
      <w:pPr>
        <w:ind w:firstLine="560"/>
        <w:rPr>
          <w:rFonts w:cs="Times New Roman"/>
        </w:rPr>
      </w:pPr>
      <w:r>
        <w:rPr>
          <w:rFonts w:cs="Times New Roman"/>
        </w:rPr>
        <w:t xml:space="preserve">      b——每孔净宽，m；</w:t>
      </w:r>
    </w:p>
    <w:p>
      <w:pPr>
        <w:ind w:firstLine="560"/>
        <w:rPr>
          <w:rFonts w:cs="Times New Roman"/>
        </w:rPr>
      </w:pPr>
      <w:r>
        <w:rPr>
          <w:rFonts w:cs="Times New Roman"/>
        </w:rPr>
        <w:t xml:space="preserve">      H</w:t>
      </w:r>
      <w:r>
        <w:rPr>
          <w:rFonts w:hint="eastAsia" w:cs="Times New Roman"/>
        </w:rPr>
        <w:t>0</w:t>
      </w:r>
      <w:r>
        <w:rPr>
          <w:rFonts w:cs="Times New Roman"/>
        </w:rPr>
        <w:t>——包括行进流速水头的堰前水头，即</w:t>
      </w:r>
      <w:r>
        <w:rPr>
          <w:rFonts w:cs="Times New Roman"/>
        </w:rPr>
        <w:pict>
          <v:shape id="_x0000_i1028" o:spt="75" type="#_x0000_t75" style="height:36pt;width:71.25pt;" filled="f" o:preferrelative="t" stroked="f" coordsize="21600,21600">
            <v:path/>
            <v:fill on="f" focussize="0,0"/>
            <v:stroke on="f" joinstyle="miter"/>
            <v:imagedata r:id="rId29" o:title=""/>
            <o:lock v:ext="edit" aspectratio="t"/>
            <w10:wrap type="none"/>
            <w10:anchorlock/>
          </v:shape>
        </w:pict>
      </w:r>
      <w:r>
        <w:rPr>
          <w:rFonts w:cs="Times New Roman"/>
        </w:rPr>
        <w:t>；</w:t>
      </w:r>
    </w:p>
    <w:p>
      <w:pPr>
        <w:ind w:firstLine="560"/>
        <w:rPr>
          <w:rFonts w:cs="Times New Roman"/>
        </w:rPr>
      </w:pPr>
      <w:r>
        <w:rPr>
          <w:rFonts w:cs="Times New Roman"/>
        </w:rPr>
        <w:t xml:space="preserve">      V</w:t>
      </w:r>
      <w:r>
        <w:rPr>
          <w:rFonts w:hint="eastAsia" w:cs="Times New Roman"/>
        </w:rPr>
        <w:t>0</w:t>
      </w:r>
      <w:r>
        <w:rPr>
          <w:rFonts w:cs="Times New Roman"/>
        </w:rPr>
        <w:t>——行进流速。</w:t>
      </w:r>
    </w:p>
    <w:p>
      <w:pPr>
        <w:ind w:firstLine="560"/>
        <w:rPr>
          <w:rFonts w:cs="Times New Roman"/>
        </w:rPr>
      </w:pPr>
      <w:r>
        <w:rPr>
          <w:rFonts w:cs="Times New Roman"/>
        </w:rPr>
        <w:pict>
          <v:shape id="_x0000_i1029" o:spt="75" type="#_x0000_t75" style="height:36pt;width:162pt;" filled="f" o:preferrelative="t" stroked="f" coordsize="21600,21600">
            <v:path/>
            <v:fill on="f" focussize="0,0"/>
            <v:stroke on="f" joinstyle="miter"/>
            <v:imagedata r:id="rId30" o:title=""/>
            <o:lock v:ext="edit" aspectratio="t"/>
            <w10:wrap type="none"/>
            <w10:anchorlock/>
          </v:shape>
        </w:pict>
      </w:r>
    </w:p>
    <w:p>
      <w:pPr>
        <w:ind w:firstLine="560"/>
        <w:rPr>
          <w:rFonts w:cs="Times New Roman"/>
        </w:rPr>
      </w:pPr>
      <w:r>
        <w:rPr>
          <w:rFonts w:cs="Times New Roman"/>
        </w:rPr>
        <w:t>式中：P——上游堰高，m；</w:t>
      </w:r>
    </w:p>
    <w:p>
      <w:pPr>
        <w:ind w:firstLine="560"/>
        <w:rPr>
          <w:rFonts w:cs="Times New Roman"/>
        </w:rPr>
      </w:pPr>
      <w:r>
        <w:rPr>
          <w:rFonts w:cs="Times New Roman"/>
        </w:rPr>
        <w:t xml:space="preserve">      H——堰前水头，m；</w:t>
      </w:r>
    </w:p>
    <w:p>
      <w:pPr>
        <w:ind w:firstLine="560"/>
        <w:rPr>
          <w:rFonts w:cs="Times New Roman"/>
        </w:rPr>
      </w:pPr>
      <w:r>
        <w:rPr>
          <w:rFonts w:cs="Times New Roman"/>
        </w:rPr>
        <w:t xml:space="preserve">      b——两墩间净宽，m；</w:t>
      </w:r>
    </w:p>
    <w:p>
      <w:pPr>
        <w:ind w:firstLine="560"/>
        <w:rPr>
          <w:rFonts w:cs="Times New Roman"/>
        </w:rPr>
      </w:pPr>
      <w:r>
        <w:rPr>
          <w:rFonts w:cs="Times New Roman"/>
        </w:rPr>
        <w:t xml:space="preserve">      B——上游引渠宽，m；</w:t>
      </w:r>
    </w:p>
    <w:p>
      <w:pPr>
        <w:ind w:firstLine="560"/>
        <w:rPr>
          <w:rFonts w:cs="Times New Roman"/>
        </w:rPr>
      </w:pPr>
      <w:r>
        <w:rPr>
          <w:rFonts w:cs="Times New Roman"/>
        </w:rPr>
        <w:t xml:space="preserve">      α——闸墩（或边墩）形状系数，墩头为曲线形时取0.10。</w:t>
      </w:r>
    </w:p>
    <w:p>
      <w:pPr>
        <w:ind w:firstLine="560"/>
        <w:rPr>
          <w:rFonts w:cs="Times New Roman"/>
        </w:rPr>
      </w:pPr>
      <w:r>
        <w:rPr>
          <w:rFonts w:cs="Times New Roman"/>
        </w:rPr>
        <w:t>流量系数由别列津斯基公式计算：</w:t>
      </w:r>
    </w:p>
    <w:p>
      <w:pPr>
        <w:ind w:firstLine="560"/>
        <w:rPr>
          <w:rFonts w:cs="Times New Roman"/>
        </w:rPr>
      </w:pPr>
      <w:r>
        <w:rPr>
          <w:rFonts w:cs="Times New Roman"/>
        </w:rPr>
        <w:pict>
          <v:shape id="_x0000_i1030" o:spt="75" type="#_x0000_t75" style="height:30.75pt;width:159.75pt;" filled="f" o:preferrelative="t" stroked="f" coordsize="21600,21600">
            <v:path/>
            <v:fill on="f" focussize="0,0"/>
            <v:stroke on="f" joinstyle="miter"/>
            <v:imagedata r:id="rId31" o:title=""/>
            <o:lock v:ext="edit" aspectratio="t"/>
            <w10:wrap type="none"/>
            <w10:anchorlock/>
          </v:shape>
        </w:pict>
      </w:r>
    </w:p>
    <w:p>
      <w:pPr>
        <w:ind w:firstLine="560"/>
        <w:rPr>
          <w:rFonts w:cs="Times New Roman"/>
        </w:rPr>
      </w:pPr>
      <w:r>
        <w:rPr>
          <w:rFonts w:cs="Times New Roman"/>
        </w:rPr>
        <w:t>当0＜P/H＜3.0时用以上公式计算，当P/H≥3.0时取0.32。</w:t>
      </w:r>
    </w:p>
    <w:p>
      <w:pPr>
        <w:ind w:firstLine="560"/>
        <w:rPr>
          <w:rFonts w:cs="Times New Roman"/>
        </w:rPr>
      </w:pPr>
      <w:r>
        <w:rPr>
          <w:rFonts w:hint="eastAsia" w:cs="Times New Roman"/>
        </w:rPr>
        <w:t>（2）水面线推求</w:t>
      </w:r>
    </w:p>
    <w:p>
      <w:pPr>
        <w:ind w:firstLine="560"/>
        <w:rPr>
          <w:rFonts w:cs="Times New Roman"/>
        </w:rPr>
      </w:pPr>
      <w:r>
        <w:rPr>
          <w:rFonts w:cs="Times New Roman"/>
        </w:rPr>
        <w:t>水面线采用广东水文水利设计计算软件平台中河道水面线计算软件进行计算，其计算原理为：</w:t>
      </w:r>
    </w:p>
    <w:p>
      <w:pPr>
        <w:ind w:firstLine="560"/>
        <w:rPr>
          <w:rFonts w:cs="Times New Roman"/>
        </w:rPr>
      </w:pPr>
      <w:r>
        <w:rPr>
          <w:rFonts w:cs="Times New Roman"/>
        </w:rPr>
        <w:pict>
          <v:shape id="_x0000_i1031" o:spt="75" type="#_x0000_t75" style="height:36.75pt;width:138.75pt;" filled="f" o:preferrelative="t" stroked="f" coordsize="21600,21600">
            <v:path/>
            <v:fill on="f" focussize="0,0"/>
            <v:stroke on="f" joinstyle="miter"/>
            <v:imagedata r:id="rId32" o:title=""/>
            <o:lock v:ext="edit" aspectratio="t"/>
            <w10:wrap type="none"/>
            <w10:anchorlock/>
          </v:shape>
        </w:pict>
      </w:r>
    </w:p>
    <w:p>
      <w:pPr>
        <w:ind w:firstLine="560"/>
        <w:rPr>
          <w:rFonts w:cs="Times New Roman"/>
        </w:rPr>
      </w:pPr>
      <w:r>
        <w:rPr>
          <w:rFonts w:cs="Times New Roman"/>
        </w:rPr>
        <w:t>式中：Z1、V1——断面1的水位和流速；</w:t>
      </w:r>
    </w:p>
    <w:p>
      <w:pPr>
        <w:ind w:firstLine="560"/>
        <w:rPr>
          <w:rFonts w:cs="Times New Roman"/>
        </w:rPr>
      </w:pPr>
      <w:r>
        <w:rPr>
          <w:rFonts w:cs="Times New Roman"/>
        </w:rPr>
        <w:t xml:space="preserve">    Z2、V2——断面2的水位和流速；</w:t>
      </w:r>
    </w:p>
    <w:p>
      <w:pPr>
        <w:ind w:firstLine="560"/>
        <w:rPr>
          <w:rFonts w:cs="Times New Roman"/>
        </w:rPr>
      </w:pPr>
      <w:r>
        <w:rPr>
          <w:rFonts w:cs="Times New Roman"/>
        </w:rPr>
        <w:t>hW =hy + hj——断面1到断面2之间的水头损失；</w:t>
      </w:r>
    </w:p>
    <w:p>
      <w:pPr>
        <w:ind w:firstLine="560"/>
        <w:rPr>
          <w:rFonts w:cs="Times New Roman"/>
        </w:rPr>
      </w:pPr>
      <w:r>
        <w:rPr>
          <w:rFonts w:cs="Times New Roman"/>
        </w:rPr>
        <w:t>hy =j ×ΔL——沿程水头损失；</w:t>
      </w:r>
    </w:p>
    <w:p>
      <w:pPr>
        <w:ind w:firstLine="560"/>
        <w:rPr>
          <w:rFonts w:cs="Times New Roman"/>
        </w:rPr>
      </w:pPr>
      <w:r>
        <w:rPr>
          <w:rFonts w:cs="Times New Roman"/>
        </w:rPr>
        <w:t>j = V2/(C2R)——沿程摩阻坡度；</w:t>
      </w:r>
    </w:p>
    <w:p>
      <w:pPr>
        <w:ind w:firstLine="560"/>
        <w:rPr>
          <w:rFonts w:cs="Times New Roman"/>
        </w:rPr>
      </w:pPr>
      <w:r>
        <w:rPr>
          <w:rFonts w:cs="Times New Roman"/>
        </w:rPr>
        <w:t>V、C、R——断面1和断面2平均流速、平均谢才系数、平均水力半径；</w:t>
      </w:r>
    </w:p>
    <w:p>
      <w:pPr>
        <w:ind w:firstLine="560"/>
        <w:rPr>
          <w:rFonts w:cs="Times New Roman"/>
        </w:rPr>
      </w:pPr>
      <w:r>
        <w:rPr>
          <w:rFonts w:cs="Times New Roman"/>
        </w:rPr>
        <w:t>ΔL——两断面间的距离；</w:t>
      </w:r>
      <w:r>
        <w:rPr>
          <w:rFonts w:cs="Times New Roman"/>
        </w:rPr>
        <w:tab/>
      </w:r>
    </w:p>
    <w:p>
      <w:pPr>
        <w:ind w:firstLine="560"/>
        <w:rPr>
          <w:rFonts w:cs="Times New Roman"/>
        </w:rPr>
      </w:pPr>
      <w:r>
        <w:rPr>
          <w:rFonts w:cs="Times New Roman"/>
        </w:rPr>
        <w:t>hj =-ξ（V12/2g-V22/2g）——局部水头损失；</w:t>
      </w:r>
    </w:p>
    <w:p>
      <w:pPr>
        <w:ind w:firstLine="560"/>
        <w:rPr>
          <w:rFonts w:cs="Times New Roman"/>
        </w:rPr>
      </w:pPr>
      <w:r>
        <w:rPr>
          <w:rFonts w:cs="Times New Roman"/>
        </w:rPr>
        <w:t>ξ——河段的局部阻力系数，在顺直河段及收缩河段ξ=0，逐步扩散河段ξ=(0.3～0.5)，急剧扩散河段ξ=(0.5～1.0)。</w:t>
      </w:r>
    </w:p>
    <w:p>
      <w:pPr>
        <w:ind w:firstLine="560"/>
        <w:rPr>
          <w:rFonts w:cs="Times New Roman"/>
        </w:rPr>
      </w:pPr>
      <w:r>
        <w:rPr>
          <w:rFonts w:cs="Times New Roman"/>
        </w:rPr>
        <w:t>河道糙率：现场调查河道情况为河槽清洁，弯曲，稍许淤滩和潭坑，局部河段长有杂草、水浮莲，水流尚通畅。参考《水力计算手册》（第二版）（中国水利水电出版社）第364页表8-1-5天然河道糙率表成果，河道糙率取值范围为0.033~0.045，本次工程计算现状条件下河道糙率取0.038，河道综合整治后取0.035。</w:t>
      </w:r>
    </w:p>
    <w:p>
      <w:pPr>
        <w:ind w:firstLine="560"/>
        <w:rPr>
          <w:rFonts w:cs="Times New Roman"/>
        </w:rPr>
      </w:pPr>
      <w:r>
        <w:rPr>
          <w:rFonts w:hint="eastAsia" w:cs="Times New Roman"/>
        </w:rPr>
        <w:t>根据选定的参数和计算程序，水面线计算结果见表3</w:t>
      </w:r>
      <w:r>
        <w:rPr>
          <w:rFonts w:cs="Times New Roman"/>
        </w:rPr>
        <w:t>-</w:t>
      </w:r>
      <w:r>
        <w:rPr>
          <w:rFonts w:hint="eastAsia" w:cs="Times New Roman"/>
        </w:rPr>
        <w:t>5</w:t>
      </w:r>
      <w:r>
        <w:rPr>
          <w:rFonts w:cs="Times New Roman"/>
        </w:rPr>
        <w:t>。</w:t>
      </w:r>
    </w:p>
    <w:p>
      <w:pPr>
        <w:spacing w:before="312" w:beforeLines="100"/>
        <w:ind w:firstLine="0" w:firstLineChars="0"/>
        <w:jc w:val="center"/>
        <w:rPr>
          <w:rFonts w:cs="Times New Roman"/>
          <w:b/>
          <w:bCs/>
          <w:sz w:val="21"/>
          <w:szCs w:val="21"/>
        </w:rPr>
      </w:pPr>
      <w:r>
        <w:rPr>
          <w:rFonts w:cs="Times New Roman"/>
          <w:b/>
          <w:bCs/>
          <w:sz w:val="21"/>
          <w:szCs w:val="21"/>
        </w:rPr>
        <w:t>表3-</w:t>
      </w:r>
      <w:r>
        <w:rPr>
          <w:rFonts w:hint="eastAsia" w:cs="Times New Roman"/>
          <w:b/>
          <w:bCs/>
          <w:sz w:val="21"/>
          <w:szCs w:val="21"/>
        </w:rPr>
        <w:t>5港仔溪</w:t>
      </w:r>
      <w:r>
        <w:rPr>
          <w:rFonts w:cs="Times New Roman"/>
          <w:b/>
          <w:bCs/>
          <w:sz w:val="21"/>
          <w:szCs w:val="21"/>
        </w:rPr>
        <w:t>设计水面线（国家85高程，m）</w:t>
      </w:r>
    </w:p>
    <w:tbl>
      <w:tblPr>
        <w:tblStyle w:val="27"/>
        <w:tblW w:w="3909" w:type="pct"/>
        <w:jc w:val="center"/>
        <w:tblLayout w:type="autofit"/>
        <w:tblCellMar>
          <w:top w:w="0" w:type="dxa"/>
          <w:left w:w="0" w:type="dxa"/>
          <w:bottom w:w="0" w:type="dxa"/>
          <w:right w:w="0" w:type="dxa"/>
        </w:tblCellMar>
      </w:tblPr>
      <w:tblGrid>
        <w:gridCol w:w="1472"/>
        <w:gridCol w:w="936"/>
        <w:gridCol w:w="1420"/>
        <w:gridCol w:w="992"/>
        <w:gridCol w:w="1379"/>
        <w:gridCol w:w="900"/>
      </w:tblGrid>
      <w:tr>
        <w:tblPrEx>
          <w:tblCellMar>
            <w:top w:w="0" w:type="dxa"/>
            <w:left w:w="0" w:type="dxa"/>
            <w:bottom w:w="0" w:type="dxa"/>
            <w:right w:w="0" w:type="dxa"/>
          </w:tblCellMar>
        </w:tblPrEx>
        <w:trPr>
          <w:trHeight w:val="170" w:hRule="atLeast"/>
          <w:tblHeader/>
          <w:jc w:val="center"/>
        </w:trPr>
        <w:tc>
          <w:tcPr>
            <w:tcW w:w="10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cs="Times New Roman"/>
                <w:kern w:val="0"/>
                <w:sz w:val="21"/>
                <w:szCs w:val="21"/>
              </w:rPr>
            </w:pPr>
            <w:r>
              <w:rPr>
                <w:rFonts w:hint="eastAsia" w:cs="Times New Roman"/>
                <w:kern w:val="0"/>
                <w:sz w:val="21"/>
                <w:szCs w:val="21"/>
              </w:rPr>
              <w:t>里程(</w:t>
            </w:r>
            <w:r>
              <w:rPr>
                <w:rFonts w:cs="Times New Roman"/>
                <w:kern w:val="0"/>
                <w:sz w:val="21"/>
                <w:szCs w:val="21"/>
              </w:rPr>
              <w:t>m</w:t>
            </w:r>
            <w:r>
              <w:rPr>
                <w:rFonts w:hint="eastAsia" w:cs="Times New Roman"/>
                <w:kern w:val="0"/>
                <w:sz w:val="21"/>
                <w:szCs w:val="21"/>
              </w:rPr>
              <w:t>)</w:t>
            </w:r>
          </w:p>
        </w:tc>
        <w:tc>
          <w:tcPr>
            <w:tcW w:w="659" w:type="pct"/>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P=20%</w:t>
            </w:r>
          </w:p>
        </w:tc>
        <w:tc>
          <w:tcPr>
            <w:tcW w:w="1000"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kern w:val="0"/>
                <w:sz w:val="21"/>
                <w:szCs w:val="21"/>
              </w:rPr>
            </w:pPr>
            <w:r>
              <w:rPr>
                <w:rFonts w:hint="eastAsia" w:cs="Times New Roman"/>
                <w:kern w:val="0"/>
                <w:sz w:val="21"/>
                <w:szCs w:val="21"/>
              </w:rPr>
              <w:t>里程(</w:t>
            </w:r>
            <w:r>
              <w:rPr>
                <w:rFonts w:cs="Times New Roman"/>
                <w:kern w:val="0"/>
                <w:sz w:val="21"/>
                <w:szCs w:val="21"/>
              </w:rPr>
              <w:t>m</w:t>
            </w:r>
            <w:r>
              <w:rPr>
                <w:rFonts w:hint="eastAsia" w:cs="Times New Roman"/>
                <w:kern w:val="0"/>
                <w:sz w:val="21"/>
                <w:szCs w:val="21"/>
              </w:rPr>
              <w:t>)</w:t>
            </w:r>
          </w:p>
        </w:tc>
        <w:tc>
          <w:tcPr>
            <w:tcW w:w="699"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kern w:val="0"/>
                <w:sz w:val="21"/>
                <w:szCs w:val="21"/>
              </w:rPr>
            </w:pPr>
            <w:r>
              <w:rPr>
                <w:rFonts w:cs="Times New Roman"/>
                <w:kern w:val="0"/>
                <w:sz w:val="21"/>
                <w:szCs w:val="21"/>
              </w:rPr>
              <w:t>P=20%</w:t>
            </w:r>
          </w:p>
        </w:tc>
        <w:tc>
          <w:tcPr>
            <w:tcW w:w="971"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kern w:val="0"/>
                <w:sz w:val="21"/>
                <w:szCs w:val="21"/>
              </w:rPr>
            </w:pPr>
            <w:r>
              <w:rPr>
                <w:rFonts w:hint="eastAsia" w:cs="Times New Roman"/>
                <w:kern w:val="0"/>
                <w:sz w:val="21"/>
                <w:szCs w:val="21"/>
              </w:rPr>
              <w:t>里程(</w:t>
            </w:r>
            <w:r>
              <w:rPr>
                <w:rFonts w:cs="Times New Roman"/>
                <w:kern w:val="0"/>
                <w:sz w:val="21"/>
                <w:szCs w:val="21"/>
              </w:rPr>
              <w:t>m</w:t>
            </w:r>
            <w:r>
              <w:rPr>
                <w:rFonts w:hint="eastAsia" w:cs="Times New Roman"/>
                <w:kern w:val="0"/>
                <w:sz w:val="21"/>
                <w:szCs w:val="21"/>
              </w:rPr>
              <w:t>)</w:t>
            </w:r>
          </w:p>
        </w:tc>
        <w:tc>
          <w:tcPr>
            <w:tcW w:w="635"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cs="Times New Roman"/>
                <w:kern w:val="0"/>
                <w:sz w:val="21"/>
                <w:szCs w:val="21"/>
              </w:rPr>
            </w:pPr>
            <w:r>
              <w:rPr>
                <w:rFonts w:cs="Times New Roman"/>
                <w:kern w:val="0"/>
                <w:sz w:val="21"/>
                <w:szCs w:val="21"/>
              </w:rPr>
              <w:t>P=20%</w:t>
            </w:r>
          </w:p>
        </w:tc>
      </w:tr>
      <w:tr>
        <w:tblPrEx>
          <w:tblCellMar>
            <w:top w:w="0" w:type="dxa"/>
            <w:left w:w="0" w:type="dxa"/>
            <w:bottom w:w="0" w:type="dxa"/>
            <w:right w:w="0" w:type="dxa"/>
          </w:tblCellMar>
        </w:tblPrEx>
        <w:trPr>
          <w:trHeight w:val="170" w:hRule="atLeast"/>
          <w:jc w:val="center"/>
        </w:trPr>
        <w:tc>
          <w:tcPr>
            <w:tcW w:w="10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23.12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1800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15.04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3600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12.18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22.67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1900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14.59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3700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12.17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22.22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2000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14.14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3800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12.17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21.77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2100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13.69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3900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10.80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21.32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2200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13.24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4000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10.73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500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20.87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2300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12.79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4100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10.63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600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20.42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2400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12.73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4200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10.51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700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19.97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2500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12.59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4300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10.25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800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19.53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2600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12.51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4400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10.19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900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19.08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2700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12.49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4500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10.16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1000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18.63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2800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12.44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4600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9.97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1100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18.18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2900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12.38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4700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9.91 </w:t>
            </w:r>
          </w:p>
        </w:tc>
      </w:tr>
      <w:tr>
        <w:tblPrEx>
          <w:tblCellMar>
            <w:top w:w="0" w:type="dxa"/>
            <w:left w:w="0" w:type="dxa"/>
            <w:bottom w:w="0" w:type="dxa"/>
            <w:right w:w="0" w:type="dxa"/>
          </w:tblCellMar>
        </w:tblPrEx>
        <w:trPr>
          <w:trHeight w:val="170" w:hRule="atLeast"/>
          <w:jc w:val="center"/>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1200</w:t>
            </w:r>
          </w:p>
        </w:tc>
        <w:tc>
          <w:tcPr>
            <w:tcW w:w="659" w:type="pct"/>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17.73 </w:t>
            </w:r>
          </w:p>
        </w:tc>
        <w:tc>
          <w:tcPr>
            <w:tcW w:w="1000"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3000</w:t>
            </w:r>
          </w:p>
        </w:tc>
        <w:tc>
          <w:tcPr>
            <w:tcW w:w="699"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12.34 </w:t>
            </w:r>
          </w:p>
        </w:tc>
        <w:tc>
          <w:tcPr>
            <w:tcW w:w="971" w:type="pct"/>
            <w:tcBorders>
              <w:top w:val="nil"/>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4800</w:t>
            </w:r>
          </w:p>
        </w:tc>
        <w:tc>
          <w:tcPr>
            <w:tcW w:w="635" w:type="pct"/>
            <w:tcBorders>
              <w:top w:val="nil"/>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9.87 </w:t>
            </w:r>
          </w:p>
        </w:tc>
      </w:tr>
      <w:tr>
        <w:tblPrEx>
          <w:tblCellMar>
            <w:top w:w="0" w:type="dxa"/>
            <w:left w:w="0" w:type="dxa"/>
            <w:bottom w:w="0" w:type="dxa"/>
            <w:right w:w="0" w:type="dxa"/>
          </w:tblCellMar>
        </w:tblPrEx>
        <w:trPr>
          <w:trHeight w:val="170" w:hRule="atLeast"/>
          <w:jc w:val="center"/>
        </w:trPr>
        <w:tc>
          <w:tcPr>
            <w:tcW w:w="10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1300</w:t>
            </w:r>
          </w:p>
        </w:tc>
        <w:tc>
          <w:tcPr>
            <w:tcW w:w="659"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17.28 </w:t>
            </w:r>
          </w:p>
        </w:tc>
        <w:tc>
          <w:tcPr>
            <w:tcW w:w="1000"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3100</w:t>
            </w:r>
          </w:p>
        </w:tc>
        <w:tc>
          <w:tcPr>
            <w:tcW w:w="699"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12.31 </w:t>
            </w:r>
          </w:p>
        </w:tc>
        <w:tc>
          <w:tcPr>
            <w:tcW w:w="971"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4900</w:t>
            </w:r>
          </w:p>
        </w:tc>
        <w:tc>
          <w:tcPr>
            <w:tcW w:w="635"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9.86 </w:t>
            </w:r>
          </w:p>
        </w:tc>
      </w:tr>
      <w:tr>
        <w:tblPrEx>
          <w:tblCellMar>
            <w:top w:w="0" w:type="dxa"/>
            <w:left w:w="0" w:type="dxa"/>
            <w:bottom w:w="0" w:type="dxa"/>
            <w:right w:w="0" w:type="dxa"/>
          </w:tblCellMar>
        </w:tblPrEx>
        <w:trPr>
          <w:trHeight w:val="170" w:hRule="atLeast"/>
          <w:jc w:val="center"/>
        </w:trPr>
        <w:tc>
          <w:tcPr>
            <w:tcW w:w="10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1400</w:t>
            </w:r>
          </w:p>
        </w:tc>
        <w:tc>
          <w:tcPr>
            <w:tcW w:w="659"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16.83 </w:t>
            </w:r>
          </w:p>
        </w:tc>
        <w:tc>
          <w:tcPr>
            <w:tcW w:w="1000"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3200</w:t>
            </w:r>
          </w:p>
        </w:tc>
        <w:tc>
          <w:tcPr>
            <w:tcW w:w="699"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12.27 </w:t>
            </w:r>
          </w:p>
        </w:tc>
        <w:tc>
          <w:tcPr>
            <w:tcW w:w="971"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5000</w:t>
            </w:r>
          </w:p>
        </w:tc>
        <w:tc>
          <w:tcPr>
            <w:tcW w:w="635"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8.55 </w:t>
            </w:r>
          </w:p>
        </w:tc>
      </w:tr>
      <w:tr>
        <w:tblPrEx>
          <w:tblCellMar>
            <w:top w:w="0" w:type="dxa"/>
            <w:left w:w="0" w:type="dxa"/>
            <w:bottom w:w="0" w:type="dxa"/>
            <w:right w:w="0" w:type="dxa"/>
          </w:tblCellMar>
        </w:tblPrEx>
        <w:trPr>
          <w:trHeight w:val="170" w:hRule="atLeast"/>
          <w:jc w:val="center"/>
        </w:trPr>
        <w:tc>
          <w:tcPr>
            <w:tcW w:w="10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1500</w:t>
            </w:r>
          </w:p>
        </w:tc>
        <w:tc>
          <w:tcPr>
            <w:tcW w:w="659"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16.38 </w:t>
            </w:r>
          </w:p>
        </w:tc>
        <w:tc>
          <w:tcPr>
            <w:tcW w:w="1000"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3300</w:t>
            </w:r>
          </w:p>
        </w:tc>
        <w:tc>
          <w:tcPr>
            <w:tcW w:w="699"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12.26 </w:t>
            </w:r>
          </w:p>
        </w:tc>
        <w:tc>
          <w:tcPr>
            <w:tcW w:w="971"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5100</w:t>
            </w:r>
          </w:p>
        </w:tc>
        <w:tc>
          <w:tcPr>
            <w:tcW w:w="635"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8.38 </w:t>
            </w:r>
          </w:p>
        </w:tc>
      </w:tr>
      <w:tr>
        <w:tblPrEx>
          <w:tblCellMar>
            <w:top w:w="0" w:type="dxa"/>
            <w:left w:w="0" w:type="dxa"/>
            <w:bottom w:w="0" w:type="dxa"/>
            <w:right w:w="0" w:type="dxa"/>
          </w:tblCellMar>
        </w:tblPrEx>
        <w:trPr>
          <w:trHeight w:val="170" w:hRule="atLeast"/>
          <w:jc w:val="center"/>
        </w:trPr>
        <w:tc>
          <w:tcPr>
            <w:tcW w:w="10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1600</w:t>
            </w:r>
          </w:p>
        </w:tc>
        <w:tc>
          <w:tcPr>
            <w:tcW w:w="659"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15.93 </w:t>
            </w:r>
          </w:p>
        </w:tc>
        <w:tc>
          <w:tcPr>
            <w:tcW w:w="1000"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3400</w:t>
            </w:r>
          </w:p>
        </w:tc>
        <w:tc>
          <w:tcPr>
            <w:tcW w:w="699"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12.24 </w:t>
            </w:r>
          </w:p>
        </w:tc>
        <w:tc>
          <w:tcPr>
            <w:tcW w:w="971"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5200</w:t>
            </w:r>
          </w:p>
        </w:tc>
        <w:tc>
          <w:tcPr>
            <w:tcW w:w="635"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8.21 </w:t>
            </w:r>
          </w:p>
        </w:tc>
      </w:tr>
      <w:tr>
        <w:tblPrEx>
          <w:tblCellMar>
            <w:top w:w="0" w:type="dxa"/>
            <w:left w:w="0" w:type="dxa"/>
            <w:bottom w:w="0" w:type="dxa"/>
            <w:right w:w="0" w:type="dxa"/>
          </w:tblCellMar>
        </w:tblPrEx>
        <w:trPr>
          <w:trHeight w:val="170" w:hRule="atLeast"/>
          <w:jc w:val="center"/>
        </w:trPr>
        <w:tc>
          <w:tcPr>
            <w:tcW w:w="10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1700</w:t>
            </w:r>
          </w:p>
        </w:tc>
        <w:tc>
          <w:tcPr>
            <w:tcW w:w="659" w:type="pct"/>
            <w:tcBorders>
              <w:top w:val="single" w:color="auto" w:sz="4" w:space="0"/>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15.48 </w:t>
            </w:r>
          </w:p>
        </w:tc>
        <w:tc>
          <w:tcPr>
            <w:tcW w:w="1000"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3500</w:t>
            </w:r>
          </w:p>
        </w:tc>
        <w:tc>
          <w:tcPr>
            <w:tcW w:w="699"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12.20 </w:t>
            </w:r>
          </w:p>
        </w:tc>
        <w:tc>
          <w:tcPr>
            <w:tcW w:w="971" w:type="pc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5300</w:t>
            </w:r>
          </w:p>
        </w:tc>
        <w:tc>
          <w:tcPr>
            <w:tcW w:w="635" w:type="pct"/>
            <w:tcBorders>
              <w:top w:val="single" w:color="auto" w:sz="4" w:space="0"/>
              <w:left w:val="nil"/>
              <w:bottom w:val="single" w:color="auto" w:sz="4" w:space="0"/>
              <w:right w:val="single" w:color="auto" w:sz="4" w:space="0"/>
            </w:tcBorders>
            <w:vAlign w:val="bottom"/>
          </w:tcPr>
          <w:p>
            <w:pPr>
              <w:widowControl/>
              <w:spacing w:line="240" w:lineRule="auto"/>
              <w:ind w:firstLine="0" w:firstLineChars="0"/>
              <w:jc w:val="center"/>
              <w:rPr>
                <w:rFonts w:eastAsia="等线" w:cs="Times New Roman"/>
                <w:color w:val="000000"/>
                <w:sz w:val="21"/>
                <w:szCs w:val="21"/>
              </w:rPr>
            </w:pPr>
            <w:r>
              <w:rPr>
                <w:rFonts w:hint="eastAsia" w:eastAsia="等线" w:cs="Times New Roman"/>
                <w:color w:val="000000"/>
                <w:sz w:val="21"/>
                <w:szCs w:val="21"/>
              </w:rPr>
              <w:t xml:space="preserve">8.04 </w:t>
            </w:r>
          </w:p>
        </w:tc>
      </w:tr>
    </w:tbl>
    <w:p>
      <w:pPr>
        <w:ind w:firstLine="560"/>
        <w:sectPr>
          <w:pgSz w:w="11906" w:h="16838"/>
          <w:pgMar w:top="1440" w:right="1418" w:bottom="1440" w:left="1418" w:header="851" w:footer="992" w:gutter="0"/>
          <w:cols w:space="720" w:num="1"/>
          <w:docGrid w:type="lines" w:linePitch="312" w:charSpace="0"/>
        </w:sectPr>
      </w:pPr>
    </w:p>
    <w:p>
      <w:pPr>
        <w:keepNext/>
        <w:keepLines/>
        <w:spacing w:before="120" w:after="120"/>
        <w:ind w:firstLine="0" w:firstLineChars="0"/>
        <w:jc w:val="left"/>
        <w:textAlignment w:val="baseline"/>
        <w:outlineLvl w:val="0"/>
        <w:rPr>
          <w:rFonts w:cs="Times New Roman"/>
          <w:b/>
          <w:kern w:val="44"/>
          <w:sz w:val="32"/>
          <w:szCs w:val="20"/>
        </w:rPr>
      </w:pPr>
      <w:bookmarkStart w:id="30" w:name="_Toc56103697"/>
      <w:r>
        <w:rPr>
          <w:rFonts w:cs="Times New Roman"/>
          <w:b/>
          <w:kern w:val="44"/>
          <w:sz w:val="32"/>
          <w:szCs w:val="20"/>
        </w:rPr>
        <w:t>4 现状和主要问题</w:t>
      </w:r>
      <w:bookmarkEnd w:id="30"/>
    </w:p>
    <w:p>
      <w:pPr>
        <w:keepNext/>
        <w:keepLines/>
        <w:spacing w:before="156" w:beforeLines="50"/>
        <w:ind w:firstLine="0" w:firstLineChars="0"/>
        <w:jc w:val="left"/>
        <w:textAlignment w:val="baseline"/>
        <w:outlineLvl w:val="1"/>
        <w:rPr>
          <w:rFonts w:cs="Times New Roman"/>
          <w:b/>
          <w:szCs w:val="28"/>
        </w:rPr>
      </w:pPr>
      <w:bookmarkStart w:id="31" w:name="_Toc56103698"/>
      <w:r>
        <w:rPr>
          <w:rFonts w:cs="Times New Roman"/>
          <w:b/>
          <w:szCs w:val="28"/>
        </w:rPr>
        <w:t>4.1 划界现状</w:t>
      </w:r>
      <w:bookmarkEnd w:id="31"/>
    </w:p>
    <w:p>
      <w:pPr>
        <w:spacing w:line="240" w:lineRule="auto"/>
        <w:ind w:firstLine="560"/>
        <w:jc w:val="left"/>
        <w:rPr>
          <w:rFonts w:cs="Times New Roman"/>
        </w:rPr>
      </w:pPr>
      <w:r>
        <w:rPr>
          <w:rFonts w:cs="Times New Roman"/>
        </w:rPr>
        <w:t>目前，</w:t>
      </w:r>
      <w:r>
        <w:rPr>
          <w:rFonts w:hint="eastAsia" w:cs="Times New Roman"/>
        </w:rPr>
        <w:t>汕尾市华侨管理区</w:t>
      </w:r>
      <w:r>
        <w:rPr>
          <w:rFonts w:cs="Times New Roman"/>
        </w:rPr>
        <w:t>境内划界任务河流划界情况见表4.1-1。</w:t>
      </w:r>
    </w:p>
    <w:p>
      <w:pPr>
        <w:spacing w:before="312" w:beforeLines="100"/>
        <w:ind w:firstLine="0" w:firstLineChars="0"/>
        <w:jc w:val="center"/>
        <w:rPr>
          <w:rFonts w:cs="Times New Roman"/>
          <w:b/>
          <w:sz w:val="21"/>
          <w:szCs w:val="21"/>
        </w:rPr>
      </w:pPr>
      <w:r>
        <w:rPr>
          <w:rFonts w:cs="Times New Roman"/>
          <w:b/>
          <w:sz w:val="21"/>
          <w:szCs w:val="21"/>
        </w:rPr>
        <w:t xml:space="preserve">表4.1-1 </w:t>
      </w:r>
      <w:r>
        <w:rPr>
          <w:rFonts w:hint="eastAsia" w:cs="Times New Roman"/>
          <w:b/>
          <w:sz w:val="21"/>
          <w:szCs w:val="21"/>
        </w:rPr>
        <w:t>汕尾市华侨管理区</w:t>
      </w:r>
      <w:r>
        <w:rPr>
          <w:rFonts w:cs="Times New Roman"/>
          <w:b/>
          <w:sz w:val="21"/>
          <w:szCs w:val="21"/>
        </w:rPr>
        <w:t>河湖管理范围划界工作现状调查表</w:t>
      </w:r>
    </w:p>
    <w:tbl>
      <w:tblPr>
        <w:tblStyle w:val="128"/>
        <w:tblW w:w="44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5"/>
        <w:gridCol w:w="2555"/>
        <w:gridCol w:w="1848"/>
        <w:gridCol w:w="184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49" w:type="pct"/>
            <w:vAlign w:val="center"/>
          </w:tcPr>
          <w:p>
            <w:pPr>
              <w:widowControl/>
              <w:ind w:firstLine="0" w:firstLineChars="0"/>
              <w:jc w:val="center"/>
              <w:rPr>
                <w:rFonts w:cs="Times New Roman"/>
                <w:kern w:val="0"/>
                <w:sz w:val="21"/>
                <w:szCs w:val="21"/>
              </w:rPr>
            </w:pPr>
            <w:r>
              <w:rPr>
                <w:rFonts w:cs="Times New Roman"/>
                <w:kern w:val="0"/>
                <w:sz w:val="21"/>
                <w:szCs w:val="21"/>
              </w:rPr>
              <w:t>序号</w:t>
            </w:r>
          </w:p>
        </w:tc>
        <w:tc>
          <w:tcPr>
            <w:tcW w:w="1579" w:type="pct"/>
            <w:vAlign w:val="center"/>
          </w:tcPr>
          <w:p>
            <w:pPr>
              <w:widowControl/>
              <w:ind w:firstLine="0" w:firstLineChars="0"/>
              <w:jc w:val="center"/>
              <w:rPr>
                <w:rFonts w:cs="Times New Roman"/>
                <w:kern w:val="0"/>
                <w:sz w:val="21"/>
                <w:szCs w:val="21"/>
              </w:rPr>
            </w:pPr>
            <w:r>
              <w:rPr>
                <w:rFonts w:cs="Times New Roman"/>
                <w:kern w:val="0"/>
                <w:sz w:val="21"/>
                <w:szCs w:val="21"/>
              </w:rPr>
              <w:t>河段名称</w:t>
            </w:r>
          </w:p>
        </w:tc>
        <w:tc>
          <w:tcPr>
            <w:tcW w:w="1142" w:type="pct"/>
            <w:vAlign w:val="center"/>
          </w:tcPr>
          <w:p>
            <w:pPr>
              <w:widowControl/>
              <w:ind w:firstLine="0" w:firstLineChars="0"/>
              <w:jc w:val="center"/>
              <w:rPr>
                <w:rFonts w:cs="Times New Roman"/>
                <w:kern w:val="0"/>
                <w:sz w:val="21"/>
                <w:szCs w:val="21"/>
              </w:rPr>
            </w:pPr>
            <w:r>
              <w:rPr>
                <w:rFonts w:cs="Times New Roman"/>
                <w:kern w:val="0"/>
                <w:sz w:val="21"/>
                <w:szCs w:val="21"/>
              </w:rPr>
              <w:t>应划界长度（km）</w:t>
            </w:r>
          </w:p>
        </w:tc>
        <w:tc>
          <w:tcPr>
            <w:tcW w:w="1141" w:type="pct"/>
            <w:vAlign w:val="center"/>
          </w:tcPr>
          <w:p>
            <w:pPr>
              <w:widowControl/>
              <w:ind w:firstLine="0" w:firstLineChars="0"/>
              <w:jc w:val="center"/>
              <w:rPr>
                <w:rFonts w:cs="Times New Roman"/>
                <w:kern w:val="0"/>
                <w:sz w:val="21"/>
                <w:szCs w:val="21"/>
              </w:rPr>
            </w:pPr>
            <w:r>
              <w:rPr>
                <w:rFonts w:cs="Times New Roman"/>
                <w:kern w:val="0"/>
                <w:sz w:val="21"/>
                <w:szCs w:val="21"/>
              </w:rPr>
              <w:t>已划界长度（km）</w:t>
            </w:r>
          </w:p>
        </w:tc>
        <w:tc>
          <w:tcPr>
            <w:tcW w:w="789" w:type="pct"/>
            <w:vAlign w:val="center"/>
          </w:tcPr>
          <w:p>
            <w:pPr>
              <w:widowControl/>
              <w:ind w:firstLine="0" w:firstLineChars="0"/>
              <w:jc w:val="center"/>
              <w:rPr>
                <w:rFonts w:cs="Times New Roman"/>
                <w:kern w:val="0"/>
                <w:sz w:val="21"/>
                <w:szCs w:val="21"/>
              </w:rPr>
            </w:pPr>
            <w:r>
              <w:rPr>
                <w:rFonts w:cs="Times New Roman"/>
                <w:kern w:val="0"/>
                <w:sz w:val="21"/>
                <w:szCs w:val="21"/>
              </w:rPr>
              <w:t>是否完成划界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49" w:type="pct"/>
            <w:vAlign w:val="center"/>
          </w:tcPr>
          <w:p>
            <w:pPr>
              <w:widowControl/>
              <w:ind w:firstLine="0" w:firstLineChars="0"/>
              <w:jc w:val="center"/>
              <w:rPr>
                <w:rFonts w:cs="Times New Roman"/>
                <w:kern w:val="0"/>
                <w:sz w:val="21"/>
                <w:szCs w:val="21"/>
              </w:rPr>
            </w:pPr>
            <w:r>
              <w:rPr>
                <w:rFonts w:cs="Times New Roman"/>
                <w:kern w:val="0"/>
                <w:sz w:val="21"/>
                <w:szCs w:val="21"/>
              </w:rPr>
              <w:t>1</w:t>
            </w:r>
          </w:p>
        </w:tc>
        <w:tc>
          <w:tcPr>
            <w:tcW w:w="1579" w:type="pct"/>
            <w:vAlign w:val="center"/>
          </w:tcPr>
          <w:p>
            <w:pPr>
              <w:widowControl/>
              <w:ind w:firstLine="0" w:firstLineChars="0"/>
              <w:jc w:val="center"/>
              <w:rPr>
                <w:rFonts w:cs="Times New Roman"/>
                <w:kern w:val="0"/>
                <w:sz w:val="21"/>
                <w:szCs w:val="21"/>
              </w:rPr>
            </w:pPr>
            <w:r>
              <w:rPr>
                <w:rFonts w:hint="eastAsia" w:cs="Times New Roman"/>
                <w:kern w:val="0"/>
                <w:sz w:val="21"/>
                <w:szCs w:val="21"/>
              </w:rPr>
              <w:t>鳌江（港仔溪）汕尾市段</w:t>
            </w:r>
          </w:p>
        </w:tc>
        <w:tc>
          <w:tcPr>
            <w:tcW w:w="1142" w:type="pct"/>
            <w:vAlign w:val="center"/>
          </w:tcPr>
          <w:p>
            <w:pPr>
              <w:widowControl/>
              <w:ind w:firstLine="0" w:firstLineChars="0"/>
              <w:jc w:val="center"/>
              <w:rPr>
                <w:rFonts w:cs="Times New Roman"/>
                <w:kern w:val="0"/>
                <w:sz w:val="21"/>
                <w:szCs w:val="21"/>
              </w:rPr>
            </w:pPr>
            <w:r>
              <w:rPr>
                <w:rFonts w:cs="Times New Roman"/>
                <w:kern w:val="0"/>
                <w:sz w:val="21"/>
                <w:szCs w:val="21"/>
              </w:rPr>
              <w:t>4.783</w:t>
            </w:r>
          </w:p>
        </w:tc>
        <w:tc>
          <w:tcPr>
            <w:tcW w:w="1141" w:type="pct"/>
            <w:vAlign w:val="center"/>
          </w:tcPr>
          <w:p>
            <w:pPr>
              <w:widowControl/>
              <w:ind w:firstLine="0" w:firstLineChars="0"/>
              <w:jc w:val="center"/>
              <w:rPr>
                <w:rFonts w:cs="Times New Roman"/>
                <w:kern w:val="0"/>
                <w:sz w:val="21"/>
                <w:szCs w:val="21"/>
              </w:rPr>
            </w:pPr>
            <w:r>
              <w:rPr>
                <w:rFonts w:cs="Times New Roman"/>
                <w:kern w:val="0"/>
                <w:sz w:val="21"/>
                <w:szCs w:val="21"/>
              </w:rPr>
              <w:t>0</w:t>
            </w:r>
          </w:p>
        </w:tc>
        <w:tc>
          <w:tcPr>
            <w:tcW w:w="789" w:type="pct"/>
            <w:vAlign w:val="center"/>
          </w:tcPr>
          <w:p>
            <w:pPr>
              <w:widowControl/>
              <w:ind w:firstLine="0" w:firstLineChars="0"/>
              <w:jc w:val="center"/>
              <w:rPr>
                <w:rFonts w:cs="Times New Roman"/>
                <w:kern w:val="0"/>
                <w:sz w:val="21"/>
                <w:szCs w:val="21"/>
              </w:rPr>
            </w:pPr>
            <w:r>
              <w:rPr>
                <w:rFonts w:cs="Times New Roman"/>
                <w:kern w:val="0"/>
                <w:sz w:val="21"/>
                <w:szCs w:val="21"/>
              </w:rPr>
              <w:t>否</w:t>
            </w:r>
          </w:p>
        </w:tc>
      </w:tr>
    </w:tbl>
    <w:p>
      <w:pPr>
        <w:keepNext/>
        <w:keepLines/>
        <w:spacing w:before="156" w:beforeLines="50"/>
        <w:ind w:firstLine="0" w:firstLineChars="0"/>
        <w:jc w:val="left"/>
        <w:textAlignment w:val="baseline"/>
        <w:outlineLvl w:val="1"/>
        <w:rPr>
          <w:rFonts w:cs="Times New Roman"/>
          <w:b/>
          <w:szCs w:val="28"/>
        </w:rPr>
      </w:pPr>
      <w:bookmarkStart w:id="32" w:name="_Toc56103699"/>
      <w:r>
        <w:rPr>
          <w:rFonts w:cs="Times New Roman"/>
          <w:b/>
          <w:szCs w:val="28"/>
        </w:rPr>
        <w:t>4.2 主要存在问题</w:t>
      </w:r>
      <w:bookmarkEnd w:id="32"/>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目前，划界确权主要存在以下问题：</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（1）历史遗留问题多</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由于历史遗留问题和部分群众法治观念淡薄，</w:t>
      </w:r>
      <w:r>
        <w:rPr>
          <w:rFonts w:hint="eastAsia" w:cs="Times New Roman"/>
          <w:color w:val="000000" w:themeColor="text1"/>
          <w:szCs w:val="20"/>
          <w14:textFill>
            <w14:solidFill>
              <w14:schemeClr w14:val="tx1"/>
            </w14:solidFill>
          </w14:textFill>
        </w:rPr>
        <w:t>华侨管理区</w:t>
      </w:r>
      <w:r>
        <w:rPr>
          <w:rFonts w:cs="Times New Roman"/>
          <w:color w:val="000000" w:themeColor="text1"/>
          <w:szCs w:val="20"/>
          <w14:textFill>
            <w14:solidFill>
              <w14:schemeClr w14:val="tx1"/>
            </w14:solidFill>
          </w14:textFill>
        </w:rPr>
        <w:t>水利工程管理范围受到侵占，群众认为占的就是他们的，水利管理工作受到严重干扰；此外，还有部分土地在目建设时已实际征用，但未办理征占手续，群众再次强行耕种。</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（2）与其他部门协调难度大</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部分水利工程管理范围与农业用地交叉，划界困难，如部分宽滩河段，既有管理用地也有耕地。部分已划界的水利工程管理范围遭到人为破坏，需重新划界。部分河道管理范围区域被自然资源部门划为具有权属的其他用地，更有甚者河道范围亦被划为具有权属的用地，严重侵犯水利管理空间。</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（3）缺乏资金</w:t>
      </w:r>
    </w:p>
    <w:p>
      <w:pPr>
        <w:ind w:firstLine="560"/>
        <w:rPr>
          <w:rFonts w:cs="Times New Roman"/>
        </w:rPr>
      </w:pPr>
      <w:r>
        <w:rPr>
          <w:rFonts w:cs="Times New Roman"/>
        </w:rPr>
        <w:t>划界确权资金不足。划界工作与地形测量密切相关，</w:t>
      </w:r>
      <w:r>
        <w:rPr>
          <w:rFonts w:hint="eastAsia" w:cs="Times New Roman"/>
        </w:rPr>
        <w:t>华侨管理</w:t>
      </w:r>
      <w:r>
        <w:rPr>
          <w:rFonts w:cs="Times New Roman"/>
        </w:rPr>
        <w:t>区某些河道随时间的演变需要不定期重新测量地形，由此产生大量的费用；此外，确权划界工作面大，量广，需要较多的专业技术人才和技术装备，需要多部门共同合作，需要投入较多的经费。</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（4）人员匮乏</w:t>
      </w:r>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划界确权工作复杂，需要国土、财政、司法等部门和有关乡镇、村组的配合，没有专门的组织机构，没有专题工作方案，也没有抽调专职人员成立专门从事此项工作。</w:t>
      </w:r>
    </w:p>
    <w:p>
      <w:pPr>
        <w:ind w:firstLine="560"/>
        <w:rPr>
          <w:rFonts w:cs="Times New Roman"/>
          <w:color w:val="000000" w:themeColor="text1"/>
          <w:szCs w:val="20"/>
          <w14:textFill>
            <w14:solidFill>
              <w14:schemeClr w14:val="tx1"/>
            </w14:solidFill>
          </w14:textFill>
        </w:rPr>
      </w:pPr>
      <w:r>
        <w:rPr>
          <w:rFonts w:hint="eastAsia" w:cs="Times New Roman"/>
          <w:color w:val="000000" w:themeColor="text1"/>
          <w:szCs w:val="20"/>
          <w14:textFill>
            <w14:solidFill>
              <w14:schemeClr w14:val="tx1"/>
            </w14:solidFill>
          </w14:textFill>
        </w:rPr>
        <w:t>（5）某些有堤段河道规划堤防比现状堤防建设标准高，但是规划堤防未编写规划堤防建设初设报告，这些河段按照现状堤防堤脚线为基准线确定管理范围边界，待规划堤防落实建设后仍需进一步完善确定管理范围边界。</w:t>
      </w:r>
    </w:p>
    <w:p>
      <w:pPr>
        <w:ind w:firstLine="560"/>
        <w:rPr>
          <w:rFonts w:cs="Times New Roman"/>
          <w:color w:val="000000" w:themeColor="text1"/>
          <w:szCs w:val="20"/>
          <w14:textFill>
            <w14:solidFill>
              <w14:schemeClr w14:val="tx1"/>
            </w14:solidFill>
          </w14:textFill>
        </w:rPr>
      </w:pPr>
    </w:p>
    <w:p>
      <w:pPr>
        <w:keepNext/>
        <w:keepLines/>
        <w:spacing w:before="120" w:after="120"/>
        <w:ind w:firstLine="0" w:firstLineChars="0"/>
        <w:jc w:val="left"/>
        <w:textAlignment w:val="baseline"/>
        <w:outlineLvl w:val="0"/>
        <w:rPr>
          <w:rFonts w:cs="Times New Roman"/>
          <w:b/>
          <w:kern w:val="44"/>
          <w:sz w:val="32"/>
          <w:szCs w:val="20"/>
        </w:rPr>
        <w:sectPr>
          <w:pgSz w:w="11906" w:h="16838"/>
          <w:pgMar w:top="1440" w:right="1418" w:bottom="1440" w:left="1418" w:header="851" w:footer="992" w:gutter="0"/>
          <w:cols w:space="720" w:num="1"/>
          <w:docGrid w:type="lines" w:linePitch="312" w:charSpace="0"/>
        </w:sectPr>
      </w:pPr>
    </w:p>
    <w:p>
      <w:pPr>
        <w:keepNext/>
        <w:keepLines/>
        <w:spacing w:before="120" w:after="120"/>
        <w:ind w:firstLine="0" w:firstLineChars="0"/>
        <w:jc w:val="left"/>
        <w:textAlignment w:val="baseline"/>
        <w:outlineLvl w:val="0"/>
        <w:rPr>
          <w:rFonts w:cs="Times New Roman"/>
          <w:b/>
          <w:kern w:val="44"/>
          <w:sz w:val="32"/>
          <w:szCs w:val="20"/>
        </w:rPr>
      </w:pPr>
      <w:bookmarkStart w:id="33" w:name="_Toc56103700"/>
      <w:r>
        <w:rPr>
          <w:rFonts w:cs="Times New Roman"/>
          <w:b/>
          <w:kern w:val="44"/>
          <w:sz w:val="32"/>
          <w:szCs w:val="20"/>
        </w:rPr>
        <w:t>5 河道管理范围划定</w:t>
      </w:r>
      <w:bookmarkEnd w:id="33"/>
    </w:p>
    <w:p>
      <w:pPr>
        <w:keepNext/>
        <w:keepLines/>
        <w:spacing w:before="156" w:beforeLines="50"/>
        <w:ind w:firstLine="0" w:firstLineChars="0"/>
        <w:jc w:val="left"/>
        <w:textAlignment w:val="baseline"/>
        <w:outlineLvl w:val="1"/>
        <w:rPr>
          <w:rFonts w:cs="Times New Roman"/>
          <w:b/>
          <w:kern w:val="44"/>
          <w:sz w:val="32"/>
          <w:szCs w:val="20"/>
        </w:rPr>
      </w:pPr>
      <w:bookmarkStart w:id="34" w:name="_Toc56103701"/>
      <w:r>
        <w:rPr>
          <w:rFonts w:cs="Times New Roman"/>
          <w:b/>
          <w:szCs w:val="28"/>
        </w:rPr>
        <w:t>5.1 河道管理范围线的定义</w:t>
      </w:r>
      <w:bookmarkEnd w:id="34"/>
    </w:p>
    <w:p>
      <w:pPr>
        <w:ind w:firstLine="560"/>
        <w:rPr>
          <w:rFonts w:cs="Times New Roman"/>
        </w:rPr>
      </w:pPr>
      <w:r>
        <w:rPr>
          <w:rFonts w:cs="Times New Roman"/>
        </w:rPr>
        <w:t>河道管理范围线属岸线控制线，即所谓的外缘控制线。岸线控制线是指沿河流水流方向为加强岸线资源的保护和合理开发而划定的管理控制线。岸线控制线分为临水控制线和外缘控制线。</w:t>
      </w:r>
    </w:p>
    <w:p>
      <w:pPr>
        <w:ind w:firstLine="562"/>
        <w:rPr>
          <w:rFonts w:cs="Times New Roman"/>
        </w:rPr>
      </w:pPr>
      <w:r>
        <w:rPr>
          <w:rFonts w:cs="Times New Roman"/>
          <w:b/>
          <w:bCs/>
        </w:rPr>
        <w:t>临水控制线</w:t>
      </w:r>
      <w:r>
        <w:rPr>
          <w:rFonts w:cs="Times New Roman"/>
        </w:rPr>
        <w:t>是指为稳定河势、保障河道行洪安全和维护河流健康生命的基本要求，在河岸的临水一侧顺水流方向或湖泊沿岸周边临水一侧划定的管理控制线。</w:t>
      </w:r>
    </w:p>
    <w:p>
      <w:pPr>
        <w:ind w:firstLine="562"/>
        <w:rPr>
          <w:rFonts w:cs="Times New Roman"/>
        </w:rPr>
      </w:pPr>
      <w:r>
        <w:rPr>
          <w:rFonts w:cs="Times New Roman"/>
          <w:b/>
          <w:bCs/>
        </w:rPr>
        <w:t>外缘控制线</w:t>
      </w:r>
      <w:r>
        <w:rPr>
          <w:rFonts w:cs="Times New Roman"/>
        </w:rPr>
        <w:t>是指岸线资源保护和管理的外缘边界线，一般以河（湖）堤防工程背水侧管理范围的外边线作为外缘控制线，对无堤段河道以设计洪水位与岸边的交界线作为外缘控制线。</w:t>
      </w:r>
    </w:p>
    <w:p>
      <w:pPr>
        <w:keepNext/>
        <w:keepLines/>
        <w:spacing w:before="156" w:beforeLines="50"/>
        <w:ind w:firstLine="0" w:firstLineChars="0"/>
        <w:jc w:val="left"/>
        <w:textAlignment w:val="baseline"/>
        <w:outlineLvl w:val="1"/>
        <w:rPr>
          <w:rFonts w:cs="Times New Roman"/>
          <w:b/>
          <w:szCs w:val="28"/>
        </w:rPr>
      </w:pPr>
      <w:bookmarkStart w:id="35" w:name="_Toc56103702"/>
      <w:r>
        <w:rPr>
          <w:rFonts w:cs="Times New Roman"/>
          <w:b/>
          <w:szCs w:val="28"/>
        </w:rPr>
        <w:t>5.2 河道管理范围线的确定</w:t>
      </w:r>
      <w:bookmarkEnd w:id="35"/>
    </w:p>
    <w:p>
      <w:pPr>
        <w:ind w:firstLine="560"/>
        <w:rPr>
          <w:rFonts w:cs="Times New Roman"/>
          <w:szCs w:val="28"/>
        </w:rPr>
      </w:pPr>
      <w:r>
        <w:rPr>
          <w:rFonts w:cs="Times New Roman"/>
          <w:szCs w:val="28"/>
        </w:rPr>
        <w:t>（1）《中华人民共和国河道管理条例》</w:t>
      </w:r>
    </w:p>
    <w:p>
      <w:pPr>
        <w:ind w:firstLine="560"/>
        <w:rPr>
          <w:rFonts w:cs="Times New Roman"/>
          <w:szCs w:val="28"/>
        </w:rPr>
      </w:pPr>
      <w:r>
        <w:rPr>
          <w:rFonts w:cs="Times New Roman"/>
          <w:szCs w:val="28"/>
        </w:rPr>
        <w:t>第三章</w:t>
      </w:r>
      <w:r>
        <w:rPr>
          <w:rFonts w:hint="eastAsia" w:ascii="宋体" w:hAnsi="宋体" w:cs="Times New Roman"/>
          <w:szCs w:val="28"/>
        </w:rPr>
        <w:t>“</w:t>
      </w:r>
      <w:r>
        <w:rPr>
          <w:rFonts w:cs="Times New Roman"/>
          <w:szCs w:val="28"/>
        </w:rPr>
        <w:t>河道保护</w:t>
      </w:r>
      <w:r>
        <w:rPr>
          <w:rFonts w:hint="eastAsia" w:ascii="宋体" w:hAnsi="宋体" w:cs="Times New Roman"/>
          <w:szCs w:val="28"/>
        </w:rPr>
        <w:t>”</w:t>
      </w:r>
      <w:r>
        <w:rPr>
          <w:rFonts w:cs="Times New Roman"/>
          <w:szCs w:val="28"/>
        </w:rPr>
        <w:t>规定：有堤防的河道，其管理范围为两岸堤防之间的水域、沙洲、滩地（包括可耕地）、行洪区，两岸堤防及护堤地。无堤防的河道，其管理范围根据历史最高洪水位或者设计洪水位确定。河道的具体管理范围，由县级以上地方人民政府负责划定。</w:t>
      </w:r>
    </w:p>
    <w:p>
      <w:pPr>
        <w:ind w:firstLine="560"/>
        <w:rPr>
          <w:rFonts w:cs="Times New Roman"/>
          <w:szCs w:val="28"/>
        </w:rPr>
      </w:pPr>
      <w:r>
        <w:rPr>
          <w:rFonts w:cs="Times New Roman"/>
          <w:szCs w:val="28"/>
        </w:rPr>
        <w:t>（</w:t>
      </w:r>
      <w:r>
        <w:rPr>
          <w:rFonts w:hint="eastAsia" w:cs="Times New Roman"/>
          <w:szCs w:val="28"/>
        </w:rPr>
        <w:t>2</w:t>
      </w:r>
      <w:r>
        <w:rPr>
          <w:rFonts w:cs="Times New Roman"/>
          <w:szCs w:val="28"/>
        </w:rPr>
        <w:t>）《</w:t>
      </w:r>
      <w:bookmarkStart w:id="36" w:name="_Hlk3484925"/>
      <w:r>
        <w:rPr>
          <w:rFonts w:cs="Times New Roman"/>
          <w:szCs w:val="28"/>
        </w:rPr>
        <w:t>堤防工程设计规范》</w:t>
      </w:r>
      <w:bookmarkEnd w:id="36"/>
    </w:p>
    <w:p>
      <w:pPr>
        <w:ind w:firstLine="560"/>
        <w:rPr>
          <w:rFonts w:cs="Times New Roman"/>
          <w:szCs w:val="28"/>
        </w:rPr>
      </w:pPr>
      <w:r>
        <w:rPr>
          <w:rFonts w:cs="Times New Roman"/>
          <w:szCs w:val="28"/>
        </w:rPr>
        <w:t>护堤地宽度：应从堤脚计起，并应根据工程级别结合当地的自然条件、历史习惯和土地资源开发利用等情况综合分析确定。背水侧护堤地宽度可按表5.2-1确定，临水侧护堤地宽度可结合河道管理需要及工程实际情况确定。大江大河重要堤防、城市防洪堤、重点险工险段的堤背水侧护堤地宽度，可根据具体情况调整确定。堤防工程级别见表5.2-2。</w:t>
      </w:r>
    </w:p>
    <w:p>
      <w:pPr>
        <w:spacing w:before="312" w:beforeLines="100"/>
        <w:ind w:firstLine="422"/>
        <w:jc w:val="center"/>
        <w:rPr>
          <w:rFonts w:cs="Times New Roman"/>
          <w:b/>
          <w:sz w:val="21"/>
          <w:szCs w:val="21"/>
        </w:rPr>
      </w:pPr>
      <w:r>
        <w:rPr>
          <w:rFonts w:cs="Times New Roman"/>
          <w:b/>
          <w:sz w:val="21"/>
          <w:szCs w:val="21"/>
        </w:rPr>
        <w:t>表5.2-1 堤防工程的护堤地宽度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1"/>
        <w:gridCol w:w="1835"/>
        <w:gridCol w:w="183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pct"/>
            <w:vAlign w:val="center"/>
          </w:tcPr>
          <w:p>
            <w:pPr>
              <w:widowControl/>
              <w:ind w:firstLine="0" w:firstLineChars="0"/>
              <w:jc w:val="center"/>
              <w:rPr>
                <w:rFonts w:cs="Times New Roman"/>
                <w:kern w:val="0"/>
                <w:sz w:val="21"/>
                <w:szCs w:val="21"/>
              </w:rPr>
            </w:pPr>
            <w:r>
              <w:rPr>
                <w:rFonts w:cs="Times New Roman"/>
                <w:kern w:val="0"/>
                <w:sz w:val="21"/>
                <w:szCs w:val="21"/>
              </w:rPr>
              <w:t>工程级别</w:t>
            </w:r>
          </w:p>
        </w:tc>
        <w:tc>
          <w:tcPr>
            <w:tcW w:w="988" w:type="pct"/>
            <w:vAlign w:val="center"/>
          </w:tcPr>
          <w:p>
            <w:pPr>
              <w:widowControl/>
              <w:ind w:firstLine="0" w:firstLineChars="0"/>
              <w:jc w:val="center"/>
              <w:rPr>
                <w:rFonts w:cs="Times New Roman"/>
                <w:kern w:val="0"/>
                <w:sz w:val="21"/>
                <w:szCs w:val="21"/>
              </w:rPr>
            </w:pPr>
            <w:r>
              <w:rPr>
                <w:rFonts w:cs="Times New Roman"/>
                <w:kern w:val="0"/>
                <w:sz w:val="21"/>
                <w:szCs w:val="21"/>
              </w:rPr>
              <w:t>1</w:t>
            </w:r>
          </w:p>
        </w:tc>
        <w:tc>
          <w:tcPr>
            <w:tcW w:w="988" w:type="pct"/>
            <w:vAlign w:val="center"/>
          </w:tcPr>
          <w:p>
            <w:pPr>
              <w:widowControl/>
              <w:ind w:firstLine="0" w:firstLineChars="0"/>
              <w:jc w:val="center"/>
              <w:rPr>
                <w:rFonts w:cs="Times New Roman"/>
                <w:kern w:val="0"/>
                <w:sz w:val="21"/>
                <w:szCs w:val="21"/>
              </w:rPr>
            </w:pPr>
            <w:r>
              <w:rPr>
                <w:rFonts w:cs="Times New Roman"/>
                <w:kern w:val="0"/>
                <w:sz w:val="21"/>
                <w:szCs w:val="21"/>
              </w:rPr>
              <w:t>2、3</w:t>
            </w:r>
          </w:p>
        </w:tc>
        <w:tc>
          <w:tcPr>
            <w:tcW w:w="865" w:type="pct"/>
            <w:vAlign w:val="center"/>
          </w:tcPr>
          <w:p>
            <w:pPr>
              <w:widowControl/>
              <w:ind w:firstLine="0" w:firstLineChars="0"/>
              <w:jc w:val="center"/>
              <w:rPr>
                <w:rFonts w:cs="Times New Roman"/>
                <w:kern w:val="0"/>
                <w:sz w:val="21"/>
                <w:szCs w:val="21"/>
              </w:rPr>
            </w:pPr>
            <w:r>
              <w:rPr>
                <w:rFonts w:cs="Times New Roman"/>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pct"/>
            <w:vAlign w:val="center"/>
          </w:tcPr>
          <w:p>
            <w:pPr>
              <w:widowControl/>
              <w:ind w:firstLine="0" w:firstLineChars="0"/>
              <w:jc w:val="center"/>
              <w:rPr>
                <w:rFonts w:cs="Times New Roman"/>
                <w:kern w:val="0"/>
                <w:sz w:val="21"/>
                <w:szCs w:val="21"/>
              </w:rPr>
            </w:pPr>
            <w:r>
              <w:rPr>
                <w:rFonts w:cs="Times New Roman"/>
                <w:kern w:val="0"/>
                <w:sz w:val="21"/>
                <w:szCs w:val="21"/>
              </w:rPr>
              <w:t>护堤地宽度（m）</w:t>
            </w:r>
          </w:p>
        </w:tc>
        <w:tc>
          <w:tcPr>
            <w:tcW w:w="988" w:type="pct"/>
            <w:vAlign w:val="center"/>
          </w:tcPr>
          <w:p>
            <w:pPr>
              <w:widowControl/>
              <w:ind w:firstLine="0" w:firstLineChars="0"/>
              <w:jc w:val="center"/>
              <w:rPr>
                <w:rFonts w:cs="Times New Roman"/>
                <w:kern w:val="0"/>
                <w:sz w:val="21"/>
                <w:szCs w:val="21"/>
              </w:rPr>
            </w:pPr>
            <w:r>
              <w:rPr>
                <w:rFonts w:cs="Times New Roman"/>
                <w:kern w:val="0"/>
                <w:sz w:val="21"/>
                <w:szCs w:val="21"/>
              </w:rPr>
              <w:t>30～20</w:t>
            </w:r>
          </w:p>
        </w:tc>
        <w:tc>
          <w:tcPr>
            <w:tcW w:w="988" w:type="pct"/>
            <w:vAlign w:val="center"/>
          </w:tcPr>
          <w:p>
            <w:pPr>
              <w:widowControl/>
              <w:ind w:firstLine="0" w:firstLineChars="0"/>
              <w:jc w:val="center"/>
              <w:rPr>
                <w:rFonts w:cs="Times New Roman"/>
                <w:kern w:val="0"/>
                <w:sz w:val="21"/>
                <w:szCs w:val="21"/>
              </w:rPr>
            </w:pPr>
            <w:r>
              <w:rPr>
                <w:rFonts w:cs="Times New Roman"/>
                <w:kern w:val="0"/>
                <w:sz w:val="21"/>
                <w:szCs w:val="21"/>
              </w:rPr>
              <w:t>20～10</w:t>
            </w:r>
          </w:p>
        </w:tc>
        <w:tc>
          <w:tcPr>
            <w:tcW w:w="865" w:type="pct"/>
            <w:vAlign w:val="center"/>
          </w:tcPr>
          <w:p>
            <w:pPr>
              <w:widowControl/>
              <w:ind w:firstLine="0" w:firstLineChars="0"/>
              <w:jc w:val="center"/>
              <w:rPr>
                <w:rFonts w:cs="Times New Roman"/>
                <w:kern w:val="0"/>
                <w:sz w:val="21"/>
                <w:szCs w:val="21"/>
              </w:rPr>
            </w:pPr>
            <w:r>
              <w:rPr>
                <w:rFonts w:cs="Times New Roman"/>
                <w:kern w:val="0"/>
                <w:sz w:val="21"/>
                <w:szCs w:val="21"/>
              </w:rPr>
              <w:t>10～5</w:t>
            </w:r>
          </w:p>
        </w:tc>
      </w:tr>
    </w:tbl>
    <w:p>
      <w:pPr>
        <w:spacing w:before="312" w:beforeLines="100"/>
        <w:ind w:firstLine="422"/>
        <w:jc w:val="center"/>
        <w:rPr>
          <w:rFonts w:cs="Times New Roman"/>
          <w:b/>
          <w:sz w:val="21"/>
          <w:szCs w:val="21"/>
        </w:rPr>
      </w:pPr>
      <w:r>
        <w:rPr>
          <w:rFonts w:cs="Times New Roman"/>
          <w:b/>
          <w:sz w:val="21"/>
          <w:szCs w:val="21"/>
        </w:rPr>
        <w:t>表5.2-2 堤防工程的级别</w:t>
      </w:r>
    </w:p>
    <w:tbl>
      <w:tblPr>
        <w:tblStyle w:val="28"/>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773"/>
        <w:gridCol w:w="1708"/>
        <w:gridCol w:w="1557"/>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Align w:val="center"/>
          </w:tcPr>
          <w:p>
            <w:pPr>
              <w:widowControl/>
              <w:ind w:firstLine="0" w:firstLineChars="0"/>
              <w:jc w:val="center"/>
              <w:rPr>
                <w:rFonts w:cs="Times New Roman"/>
                <w:kern w:val="0"/>
                <w:sz w:val="21"/>
                <w:szCs w:val="21"/>
              </w:rPr>
            </w:pPr>
            <w:r>
              <w:rPr>
                <w:rFonts w:cs="Times New Roman"/>
                <w:kern w:val="0"/>
                <w:sz w:val="21"/>
                <w:szCs w:val="21"/>
              </w:rPr>
              <w:t>防洪标准</w:t>
            </w:r>
          </w:p>
          <w:p>
            <w:pPr>
              <w:widowControl/>
              <w:ind w:firstLine="0" w:firstLineChars="0"/>
              <w:jc w:val="center"/>
              <w:rPr>
                <w:rFonts w:cs="Times New Roman"/>
                <w:kern w:val="0"/>
                <w:sz w:val="21"/>
                <w:szCs w:val="21"/>
              </w:rPr>
            </w:pPr>
            <w:r>
              <w:rPr>
                <w:rFonts w:cs="Times New Roman"/>
                <w:kern w:val="0"/>
                <w:sz w:val="21"/>
                <w:szCs w:val="21"/>
              </w:rPr>
              <w:t>（重现期）</w:t>
            </w:r>
          </w:p>
        </w:tc>
        <w:tc>
          <w:tcPr>
            <w:tcW w:w="773" w:type="dxa"/>
            <w:vAlign w:val="center"/>
          </w:tcPr>
          <w:p>
            <w:pPr>
              <w:widowControl/>
              <w:ind w:firstLine="0" w:firstLineChars="0"/>
              <w:jc w:val="center"/>
              <w:rPr>
                <w:rFonts w:cs="Times New Roman"/>
                <w:kern w:val="0"/>
                <w:sz w:val="21"/>
                <w:szCs w:val="21"/>
              </w:rPr>
            </w:pPr>
            <w:r>
              <w:rPr>
                <w:rFonts w:cs="Times New Roman"/>
                <w:kern w:val="0"/>
                <w:sz w:val="21"/>
                <w:szCs w:val="21"/>
              </w:rPr>
              <w:t>≥100</w:t>
            </w:r>
          </w:p>
        </w:tc>
        <w:tc>
          <w:tcPr>
            <w:tcW w:w="1708" w:type="dxa"/>
            <w:vAlign w:val="center"/>
          </w:tcPr>
          <w:p>
            <w:pPr>
              <w:widowControl/>
              <w:ind w:firstLine="0" w:firstLineChars="0"/>
              <w:jc w:val="center"/>
              <w:rPr>
                <w:rFonts w:cs="Times New Roman"/>
                <w:kern w:val="0"/>
                <w:sz w:val="21"/>
                <w:szCs w:val="21"/>
              </w:rPr>
            </w:pPr>
            <w:r>
              <w:rPr>
                <w:rFonts w:cs="Times New Roman"/>
                <w:kern w:val="0"/>
                <w:sz w:val="21"/>
                <w:szCs w:val="21"/>
              </w:rPr>
              <w:t>＜100，且≥50</w:t>
            </w:r>
          </w:p>
        </w:tc>
        <w:tc>
          <w:tcPr>
            <w:tcW w:w="1557" w:type="dxa"/>
            <w:vAlign w:val="center"/>
          </w:tcPr>
          <w:p>
            <w:pPr>
              <w:widowControl/>
              <w:ind w:firstLine="0" w:firstLineChars="0"/>
              <w:jc w:val="center"/>
              <w:rPr>
                <w:rFonts w:cs="Times New Roman"/>
                <w:kern w:val="0"/>
                <w:sz w:val="21"/>
                <w:szCs w:val="21"/>
              </w:rPr>
            </w:pPr>
            <w:r>
              <w:rPr>
                <w:rFonts w:cs="Times New Roman"/>
                <w:kern w:val="0"/>
                <w:sz w:val="21"/>
                <w:szCs w:val="21"/>
              </w:rPr>
              <w:t>＜50，且≥30</w:t>
            </w:r>
          </w:p>
        </w:tc>
        <w:tc>
          <w:tcPr>
            <w:tcW w:w="1559" w:type="dxa"/>
            <w:vAlign w:val="center"/>
          </w:tcPr>
          <w:p>
            <w:pPr>
              <w:widowControl/>
              <w:ind w:firstLine="0" w:firstLineChars="0"/>
              <w:jc w:val="center"/>
              <w:rPr>
                <w:rFonts w:cs="Times New Roman"/>
                <w:kern w:val="0"/>
                <w:sz w:val="21"/>
                <w:szCs w:val="21"/>
              </w:rPr>
            </w:pPr>
            <w:r>
              <w:rPr>
                <w:rFonts w:cs="Times New Roman"/>
                <w:kern w:val="0"/>
                <w:sz w:val="21"/>
                <w:szCs w:val="21"/>
              </w:rPr>
              <w:t>＜30，且≥20</w:t>
            </w:r>
          </w:p>
        </w:tc>
        <w:tc>
          <w:tcPr>
            <w:tcW w:w="1843" w:type="dxa"/>
            <w:vAlign w:val="center"/>
          </w:tcPr>
          <w:p>
            <w:pPr>
              <w:widowControl/>
              <w:ind w:firstLine="0" w:firstLineChars="0"/>
              <w:jc w:val="center"/>
              <w:rPr>
                <w:rFonts w:cs="Times New Roman"/>
                <w:kern w:val="0"/>
                <w:sz w:val="21"/>
                <w:szCs w:val="21"/>
              </w:rPr>
            </w:pPr>
            <w:r>
              <w:rPr>
                <w:rFonts w:cs="Times New Roman"/>
                <w:kern w:val="0"/>
                <w:sz w:val="21"/>
                <w:szCs w:val="21"/>
              </w:rPr>
              <w:t>＜20，且≥10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Align w:val="center"/>
          </w:tcPr>
          <w:p>
            <w:pPr>
              <w:widowControl/>
              <w:ind w:firstLine="0" w:firstLineChars="0"/>
              <w:jc w:val="center"/>
              <w:rPr>
                <w:rFonts w:cs="Times New Roman"/>
                <w:kern w:val="0"/>
                <w:sz w:val="21"/>
                <w:szCs w:val="21"/>
              </w:rPr>
            </w:pPr>
            <w:r>
              <w:rPr>
                <w:rFonts w:cs="Times New Roman"/>
                <w:kern w:val="0"/>
                <w:sz w:val="21"/>
                <w:szCs w:val="21"/>
              </w:rPr>
              <w:t>堤防工程的级别</w:t>
            </w:r>
          </w:p>
        </w:tc>
        <w:tc>
          <w:tcPr>
            <w:tcW w:w="773" w:type="dxa"/>
            <w:vAlign w:val="center"/>
          </w:tcPr>
          <w:p>
            <w:pPr>
              <w:widowControl/>
              <w:ind w:firstLine="0" w:firstLineChars="0"/>
              <w:jc w:val="center"/>
              <w:rPr>
                <w:rFonts w:cs="Times New Roman"/>
                <w:kern w:val="0"/>
                <w:sz w:val="21"/>
                <w:szCs w:val="21"/>
              </w:rPr>
            </w:pPr>
            <w:r>
              <w:rPr>
                <w:rFonts w:cs="Times New Roman"/>
                <w:kern w:val="0"/>
                <w:sz w:val="21"/>
                <w:szCs w:val="21"/>
              </w:rPr>
              <w:t>1</w:t>
            </w:r>
          </w:p>
        </w:tc>
        <w:tc>
          <w:tcPr>
            <w:tcW w:w="1708" w:type="dxa"/>
            <w:vAlign w:val="center"/>
          </w:tcPr>
          <w:p>
            <w:pPr>
              <w:widowControl/>
              <w:ind w:firstLine="0" w:firstLineChars="0"/>
              <w:jc w:val="center"/>
              <w:rPr>
                <w:rFonts w:cs="Times New Roman"/>
                <w:kern w:val="0"/>
                <w:sz w:val="21"/>
                <w:szCs w:val="21"/>
              </w:rPr>
            </w:pPr>
            <w:r>
              <w:rPr>
                <w:rFonts w:cs="Times New Roman"/>
                <w:kern w:val="0"/>
                <w:sz w:val="21"/>
                <w:szCs w:val="21"/>
              </w:rPr>
              <w:t>2</w:t>
            </w:r>
          </w:p>
        </w:tc>
        <w:tc>
          <w:tcPr>
            <w:tcW w:w="1557" w:type="dxa"/>
            <w:vAlign w:val="center"/>
          </w:tcPr>
          <w:p>
            <w:pPr>
              <w:widowControl/>
              <w:ind w:firstLine="0" w:firstLineChars="0"/>
              <w:jc w:val="center"/>
              <w:rPr>
                <w:rFonts w:cs="Times New Roman"/>
                <w:kern w:val="0"/>
                <w:sz w:val="21"/>
                <w:szCs w:val="21"/>
              </w:rPr>
            </w:pPr>
            <w:r>
              <w:rPr>
                <w:rFonts w:cs="Times New Roman"/>
                <w:kern w:val="0"/>
                <w:sz w:val="21"/>
                <w:szCs w:val="21"/>
              </w:rPr>
              <w:t>3</w:t>
            </w:r>
          </w:p>
        </w:tc>
        <w:tc>
          <w:tcPr>
            <w:tcW w:w="1559" w:type="dxa"/>
            <w:vAlign w:val="center"/>
          </w:tcPr>
          <w:p>
            <w:pPr>
              <w:widowControl/>
              <w:ind w:firstLine="0" w:firstLineChars="0"/>
              <w:jc w:val="center"/>
              <w:rPr>
                <w:rFonts w:cs="Times New Roman"/>
                <w:kern w:val="0"/>
                <w:sz w:val="21"/>
                <w:szCs w:val="21"/>
              </w:rPr>
            </w:pPr>
            <w:r>
              <w:rPr>
                <w:rFonts w:cs="Times New Roman"/>
                <w:kern w:val="0"/>
                <w:sz w:val="21"/>
                <w:szCs w:val="21"/>
              </w:rPr>
              <w:t>4</w:t>
            </w:r>
          </w:p>
        </w:tc>
        <w:tc>
          <w:tcPr>
            <w:tcW w:w="1843" w:type="dxa"/>
            <w:vAlign w:val="center"/>
          </w:tcPr>
          <w:p>
            <w:pPr>
              <w:widowControl/>
              <w:ind w:firstLine="0" w:firstLineChars="0"/>
              <w:jc w:val="center"/>
              <w:rPr>
                <w:rFonts w:cs="Times New Roman"/>
                <w:kern w:val="0"/>
                <w:sz w:val="21"/>
                <w:szCs w:val="21"/>
              </w:rPr>
            </w:pPr>
            <w:r>
              <w:rPr>
                <w:rFonts w:cs="Times New Roman"/>
                <w:kern w:val="0"/>
                <w:sz w:val="21"/>
                <w:szCs w:val="21"/>
              </w:rPr>
              <w:t>5</w:t>
            </w:r>
          </w:p>
        </w:tc>
      </w:tr>
    </w:tbl>
    <w:p>
      <w:pPr>
        <w:ind w:firstLine="560"/>
        <w:rPr>
          <w:rFonts w:cs="Times New Roman"/>
          <w:szCs w:val="28"/>
        </w:rPr>
      </w:pPr>
      <w:r>
        <w:rPr>
          <w:rFonts w:cs="Times New Roman"/>
          <w:szCs w:val="28"/>
        </w:rPr>
        <w:t>（</w:t>
      </w:r>
      <w:r>
        <w:rPr>
          <w:rFonts w:hint="eastAsia" w:cs="Times New Roman"/>
          <w:szCs w:val="28"/>
        </w:rPr>
        <w:t>3</w:t>
      </w:r>
      <w:r>
        <w:rPr>
          <w:rFonts w:cs="Times New Roman"/>
          <w:szCs w:val="28"/>
        </w:rPr>
        <w:t>）《</w:t>
      </w:r>
      <w:bookmarkStart w:id="37" w:name="_Hlk3484867"/>
      <w:r>
        <w:rPr>
          <w:rFonts w:cs="Times New Roman"/>
          <w:szCs w:val="28"/>
        </w:rPr>
        <w:t>广东省河湖管理范围划定技术指引（试行）</w:t>
      </w:r>
      <w:bookmarkEnd w:id="37"/>
      <w:r>
        <w:rPr>
          <w:rFonts w:cs="Times New Roman"/>
          <w:szCs w:val="28"/>
        </w:rPr>
        <w:t>》</w:t>
      </w:r>
    </w:p>
    <w:p>
      <w:pPr>
        <w:ind w:firstLine="560"/>
        <w:rPr>
          <w:rFonts w:cs="Times New Roman"/>
          <w:szCs w:val="28"/>
        </w:rPr>
      </w:pPr>
      <w:r>
        <w:rPr>
          <w:rFonts w:cs="Times New Roman"/>
          <w:szCs w:val="28"/>
        </w:rPr>
        <w:t>关于划界标准的规定如下：</w:t>
      </w:r>
    </w:p>
    <w:p>
      <w:pPr>
        <w:ind w:firstLine="560"/>
        <w:rPr>
          <w:rFonts w:cs="Times New Roman"/>
          <w:szCs w:val="28"/>
        </w:rPr>
      </w:pPr>
      <w:r>
        <w:rPr>
          <w:rFonts w:cs="Times New Roman"/>
          <w:szCs w:val="28"/>
        </w:rPr>
        <w:t>一、有堤防的河道管理范围</w:t>
      </w:r>
    </w:p>
    <w:p>
      <w:pPr>
        <w:ind w:firstLine="560"/>
        <w:rPr>
          <w:rFonts w:cs="Times New Roman"/>
          <w:szCs w:val="28"/>
        </w:rPr>
      </w:pPr>
      <w:r>
        <w:rPr>
          <w:rFonts w:cs="Times New Roman"/>
          <w:szCs w:val="28"/>
        </w:rPr>
        <w:t>有堤防的河道，其管理范围为两岸堤防之间的水域、沙洲、滩地、行洪区以及两岸堤防和护堤地；有堤防的江心洲，堤防、护堤地及堤防迎水侧以外属于河道管理范围。</w:t>
      </w:r>
    </w:p>
    <w:p>
      <w:pPr>
        <w:ind w:firstLine="0" w:firstLineChars="0"/>
        <w:jc w:val="center"/>
        <w:rPr>
          <w:rFonts w:cs="Times New Roman"/>
          <w:szCs w:val="28"/>
        </w:rPr>
      </w:pPr>
      <w:r>
        <w:rPr>
          <w:rFonts w:cs="Times New Roman"/>
        </w:rPr>
        <w:drawing>
          <wp:inline distT="0" distB="0" distL="0" distR="0">
            <wp:extent cx="5179695" cy="2277110"/>
            <wp:effectExtent l="0" t="0" r="190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83716" cy="2278848"/>
                    </a:xfrm>
                    <a:prstGeom prst="rect">
                      <a:avLst/>
                    </a:prstGeom>
                    <a:noFill/>
                    <a:ln>
                      <a:noFill/>
                    </a:ln>
                  </pic:spPr>
                </pic:pic>
              </a:graphicData>
            </a:graphic>
          </wp:inline>
        </w:drawing>
      </w:r>
    </w:p>
    <w:p>
      <w:pPr>
        <w:spacing w:after="312" w:afterLines="100"/>
        <w:ind w:firstLine="422"/>
        <w:jc w:val="center"/>
        <w:rPr>
          <w:rFonts w:cs="Times New Roman"/>
          <w:b/>
          <w:sz w:val="21"/>
          <w:szCs w:val="21"/>
        </w:rPr>
      </w:pPr>
      <w:r>
        <w:rPr>
          <w:rFonts w:cs="Times New Roman"/>
          <w:b/>
          <w:sz w:val="21"/>
          <w:szCs w:val="21"/>
        </w:rPr>
        <w:t>图5.2-1 有堤防河段划界确权范围示意图</w:t>
      </w:r>
    </w:p>
    <w:p>
      <w:pPr>
        <w:pStyle w:val="48"/>
        <w:numPr>
          <w:ilvl w:val="0"/>
          <w:numId w:val="3"/>
        </w:numPr>
        <w:ind w:firstLineChars="0"/>
        <w:rPr>
          <w:rFonts w:cs="Times New Roman"/>
          <w:kern w:val="0"/>
          <w:szCs w:val="28"/>
        </w:rPr>
      </w:pPr>
      <w:r>
        <w:rPr>
          <w:rFonts w:cs="Times New Roman"/>
          <w:kern w:val="0"/>
          <w:szCs w:val="28"/>
        </w:rPr>
        <w:t>背水侧护堤地范围</w:t>
      </w:r>
    </w:p>
    <w:p>
      <w:pPr>
        <w:ind w:firstLine="560"/>
        <w:rPr>
          <w:rFonts w:cs="Times New Roman"/>
          <w:kern w:val="0"/>
          <w:szCs w:val="28"/>
        </w:rPr>
      </w:pPr>
      <w:r>
        <w:rPr>
          <w:rFonts w:cs="Times New Roman"/>
          <w:kern w:val="0"/>
          <w:szCs w:val="28"/>
        </w:rPr>
        <w:t>a)西江、北江、东江、韩江干流的堤防和捍卫重要城镇或五万亩以上农田的其他江海堤防，从背水侧堤脚线起算30～50 m。</w:t>
      </w:r>
    </w:p>
    <w:p>
      <w:pPr>
        <w:ind w:firstLine="560"/>
        <w:rPr>
          <w:rFonts w:cs="Times New Roman"/>
          <w:kern w:val="0"/>
          <w:szCs w:val="28"/>
        </w:rPr>
      </w:pPr>
      <w:r>
        <w:rPr>
          <w:rFonts w:cs="Times New Roman"/>
          <w:kern w:val="0"/>
          <w:szCs w:val="28"/>
        </w:rPr>
        <w:t>b)捍卫一万亩至五万亩农田的堤防，从背水侧堤脚线起算20～30 m。</w:t>
      </w:r>
    </w:p>
    <w:p>
      <w:pPr>
        <w:ind w:firstLine="560"/>
        <w:rPr>
          <w:rFonts w:cs="Times New Roman"/>
          <w:kern w:val="0"/>
          <w:szCs w:val="28"/>
        </w:rPr>
      </w:pPr>
      <w:r>
        <w:rPr>
          <w:rFonts w:cs="Times New Roman"/>
          <w:kern w:val="0"/>
          <w:szCs w:val="28"/>
        </w:rPr>
        <w:t>c)其他堤防的背水侧护堤地范围，由县或乡镇人民政府参照上述标准和《堤防工程设计规范》（GB 50286-2013）的有关要求划定。</w:t>
      </w:r>
    </w:p>
    <w:p>
      <w:pPr>
        <w:ind w:firstLine="560"/>
        <w:rPr>
          <w:rFonts w:cs="Times New Roman"/>
          <w:kern w:val="0"/>
          <w:szCs w:val="28"/>
        </w:rPr>
      </w:pPr>
      <w:r>
        <w:rPr>
          <w:rFonts w:cs="Times New Roman"/>
          <w:kern w:val="0"/>
          <w:szCs w:val="28"/>
        </w:rPr>
        <w:t>d)城市规划区内的堤防背水侧护堤地范围，由水行政主管部门会同自然资源、规划等有关部门根据实际情况划定。</w:t>
      </w:r>
    </w:p>
    <w:p>
      <w:pPr>
        <w:ind w:firstLine="560"/>
        <w:rPr>
          <w:rFonts w:cs="Times New Roman"/>
          <w:kern w:val="0"/>
          <w:szCs w:val="28"/>
        </w:rPr>
      </w:pPr>
      <w:r>
        <w:rPr>
          <w:rFonts w:cs="Times New Roman"/>
          <w:kern w:val="0"/>
          <w:szCs w:val="28"/>
        </w:rPr>
        <w:t>（二）堤防已达标加固</w:t>
      </w:r>
    </w:p>
    <w:p>
      <w:pPr>
        <w:ind w:firstLine="560"/>
        <w:rPr>
          <w:rFonts w:cs="Times New Roman"/>
          <w:kern w:val="0"/>
          <w:szCs w:val="28"/>
        </w:rPr>
      </w:pPr>
      <w:r>
        <w:rPr>
          <w:rFonts w:cs="Times New Roman"/>
          <w:kern w:val="0"/>
          <w:szCs w:val="28"/>
        </w:rPr>
        <w:t>a)现状背水侧堤脚线清晰的，以堤脚线为基准进行划界。</w:t>
      </w:r>
    </w:p>
    <w:p>
      <w:pPr>
        <w:ind w:firstLine="560"/>
        <w:rPr>
          <w:rFonts w:cs="Times New Roman"/>
          <w:kern w:val="0"/>
          <w:szCs w:val="28"/>
        </w:rPr>
      </w:pPr>
      <w:r>
        <w:rPr>
          <w:rFonts w:cs="Times New Roman"/>
          <w:kern w:val="0"/>
          <w:szCs w:val="28"/>
        </w:rPr>
        <w:t>b)现状背水侧堤脚线不清晰的，但内侧堤肩线清晰的河道，可以内侧堤肩线为基准确定堤脚线，再进行划界。</w:t>
      </w:r>
    </w:p>
    <w:p>
      <w:pPr>
        <w:ind w:firstLine="560"/>
        <w:rPr>
          <w:rFonts w:cs="Times New Roman"/>
          <w:kern w:val="0"/>
          <w:szCs w:val="28"/>
        </w:rPr>
      </w:pPr>
      <w:r>
        <w:rPr>
          <w:rFonts w:cs="Times New Roman"/>
          <w:kern w:val="0"/>
          <w:szCs w:val="28"/>
        </w:rPr>
        <w:t>c)现状堤身断面不明确，需通过补测现状断面确定背水侧堤脚线，断面间距宜按200～500 m布置。</w:t>
      </w:r>
    </w:p>
    <w:p>
      <w:pPr>
        <w:ind w:firstLine="560"/>
        <w:rPr>
          <w:rFonts w:cs="Times New Roman"/>
          <w:kern w:val="0"/>
          <w:szCs w:val="28"/>
        </w:rPr>
      </w:pPr>
      <w:r>
        <w:rPr>
          <w:rFonts w:cs="Times New Roman"/>
          <w:kern w:val="0"/>
          <w:szCs w:val="28"/>
        </w:rPr>
        <w:t>（三）堤防未达标加固</w:t>
      </w:r>
    </w:p>
    <w:p>
      <w:pPr>
        <w:ind w:firstLine="560"/>
        <w:rPr>
          <w:rFonts w:cs="Times New Roman"/>
          <w:kern w:val="0"/>
          <w:szCs w:val="28"/>
        </w:rPr>
      </w:pPr>
      <w:r>
        <w:rPr>
          <w:rFonts w:cs="Times New Roman"/>
          <w:kern w:val="0"/>
          <w:szCs w:val="28"/>
        </w:rPr>
        <w:t>现状有堤防，但堤防未达标，且有经批复、明确了设计断面的规划，可根据规划断面，确定河道管理范围线。</w:t>
      </w:r>
    </w:p>
    <w:p>
      <w:pPr>
        <w:ind w:firstLine="560"/>
        <w:rPr>
          <w:rFonts w:cs="Times New Roman"/>
          <w:szCs w:val="28"/>
        </w:rPr>
      </w:pPr>
    </w:p>
    <w:p>
      <w:pPr>
        <w:ind w:firstLine="560"/>
        <w:rPr>
          <w:rFonts w:cs="Times New Roman"/>
          <w:szCs w:val="28"/>
        </w:rPr>
      </w:pPr>
      <w:r>
        <w:rPr>
          <w:rFonts w:cs="Times New Roman"/>
          <w:szCs w:val="28"/>
        </w:rPr>
        <w:t>二、无堤防的河道管理范围</w:t>
      </w:r>
    </w:p>
    <w:p>
      <w:pPr>
        <w:ind w:firstLine="560"/>
        <w:rPr>
          <w:rFonts w:cs="Times New Roman"/>
          <w:kern w:val="0"/>
          <w:szCs w:val="28"/>
        </w:rPr>
      </w:pPr>
      <w:r>
        <w:rPr>
          <w:rFonts w:cs="Times New Roman"/>
          <w:kern w:val="0"/>
          <w:szCs w:val="28"/>
        </w:rPr>
        <w:t>无堤防的河道，其管理范围为两岸历史最高洪水位或者设计洪水位之间的水域、沙洲、滩地和行洪区；无堤防的江心洲，历史最高洪水位所淹没范围属于河道管理范围。</w:t>
      </w:r>
    </w:p>
    <w:p>
      <w:pPr>
        <w:ind w:firstLine="0" w:firstLineChars="0"/>
        <w:jc w:val="center"/>
        <w:rPr>
          <w:rFonts w:cs="Times New Roman"/>
          <w:kern w:val="0"/>
          <w:szCs w:val="28"/>
        </w:rPr>
      </w:pPr>
      <w:r>
        <w:rPr>
          <w:rFonts w:cs="Times New Roman"/>
        </w:rPr>
        <w:drawing>
          <wp:inline distT="0" distB="0" distL="0" distR="0">
            <wp:extent cx="5224145" cy="2285365"/>
            <wp:effectExtent l="0" t="0" r="0" b="6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l="8817" t="16801" r="7292" b="6860"/>
                    <a:stretch>
                      <a:fillRect/>
                    </a:stretch>
                  </pic:blipFill>
                  <pic:spPr>
                    <a:xfrm>
                      <a:off x="0" y="0"/>
                      <a:ext cx="5236676" cy="2290618"/>
                    </a:xfrm>
                    <a:prstGeom prst="rect">
                      <a:avLst/>
                    </a:prstGeom>
                    <a:noFill/>
                    <a:ln>
                      <a:noFill/>
                    </a:ln>
                  </pic:spPr>
                </pic:pic>
              </a:graphicData>
            </a:graphic>
          </wp:inline>
        </w:drawing>
      </w:r>
    </w:p>
    <w:p>
      <w:pPr>
        <w:spacing w:after="312" w:afterLines="100"/>
        <w:ind w:firstLine="422"/>
        <w:jc w:val="center"/>
        <w:rPr>
          <w:rFonts w:cs="Times New Roman"/>
          <w:b/>
          <w:sz w:val="21"/>
          <w:szCs w:val="21"/>
        </w:rPr>
      </w:pPr>
      <w:r>
        <w:rPr>
          <w:rFonts w:cs="Times New Roman"/>
          <w:b/>
          <w:sz w:val="21"/>
          <w:szCs w:val="21"/>
        </w:rPr>
        <w:t>图5.2-2 无堤防山丘区河道管理范围示意图</w:t>
      </w:r>
    </w:p>
    <w:p>
      <w:pPr>
        <w:ind w:firstLine="560"/>
        <w:rPr>
          <w:rFonts w:cs="Times New Roman"/>
          <w:kern w:val="0"/>
          <w:szCs w:val="28"/>
        </w:rPr>
      </w:pPr>
      <w:r>
        <w:rPr>
          <w:rFonts w:cs="Times New Roman"/>
          <w:kern w:val="0"/>
          <w:szCs w:val="28"/>
        </w:rPr>
        <w:t>设计洪水位应当根据河道防洪规划或者国家防洪标准规定的城市防护区、乡村防护区的防护等级拟定。</w:t>
      </w:r>
    </w:p>
    <w:p>
      <w:pPr>
        <w:ind w:firstLine="560"/>
        <w:rPr>
          <w:rFonts w:cs="Times New Roman"/>
          <w:kern w:val="0"/>
          <w:szCs w:val="28"/>
        </w:rPr>
      </w:pPr>
      <w:r>
        <w:rPr>
          <w:rFonts w:cs="Times New Roman"/>
          <w:kern w:val="0"/>
          <w:szCs w:val="28"/>
        </w:rPr>
        <w:t>（一）无堤防河道，无规划要求</w:t>
      </w:r>
    </w:p>
    <w:p>
      <w:pPr>
        <w:ind w:firstLine="560"/>
        <w:rPr>
          <w:rFonts w:cs="Times New Roman"/>
          <w:kern w:val="0"/>
          <w:szCs w:val="28"/>
        </w:rPr>
      </w:pPr>
      <w:r>
        <w:rPr>
          <w:rFonts w:cs="Times New Roman"/>
          <w:kern w:val="0"/>
          <w:szCs w:val="28"/>
        </w:rPr>
        <w:t>无堤防河道，又无规划要求，山区河道按设计洪水位（或历史最高洪水位）确定河道管理范围；平原网河区河道按设计洪水位与岸边交界线外延一定距离确定河道管理范围，外延距离一般为5～15 m，</w:t>
      </w:r>
      <w:r>
        <w:rPr>
          <w:rFonts w:hint="eastAsia" w:cs="Times New Roman"/>
          <w:kern w:val="0"/>
          <w:szCs w:val="28"/>
        </w:rPr>
        <w:t>根据地区实际情况</w:t>
      </w:r>
      <w:r>
        <w:rPr>
          <w:rFonts w:cs="Times New Roman"/>
          <w:kern w:val="0"/>
          <w:szCs w:val="28"/>
        </w:rPr>
        <w:t>，本报告主要采用</w:t>
      </w:r>
      <w:r>
        <w:rPr>
          <w:rFonts w:hint="eastAsia" w:cs="Times New Roman"/>
          <w:kern w:val="0"/>
          <w:szCs w:val="28"/>
        </w:rPr>
        <w:t>基准线</w:t>
      </w:r>
      <w:r>
        <w:rPr>
          <w:rFonts w:cs="Times New Roman"/>
          <w:kern w:val="0"/>
          <w:szCs w:val="28"/>
        </w:rPr>
        <w:t>外延5 m划定河道管理范围边界。</w:t>
      </w:r>
    </w:p>
    <w:p>
      <w:pPr>
        <w:ind w:firstLine="560"/>
        <w:rPr>
          <w:rFonts w:cs="Times New Roman"/>
          <w:kern w:val="0"/>
          <w:szCs w:val="28"/>
        </w:rPr>
      </w:pPr>
      <w:r>
        <w:rPr>
          <w:rFonts w:cs="Times New Roman"/>
          <w:kern w:val="0"/>
          <w:szCs w:val="28"/>
        </w:rPr>
        <w:t>（二）无堤防河道，有规划要求</w:t>
      </w:r>
    </w:p>
    <w:p>
      <w:pPr>
        <w:ind w:firstLine="560"/>
        <w:rPr>
          <w:rFonts w:cs="Times New Roman"/>
          <w:kern w:val="0"/>
          <w:szCs w:val="28"/>
        </w:rPr>
      </w:pPr>
      <w:r>
        <w:rPr>
          <w:rFonts w:cs="Times New Roman"/>
          <w:kern w:val="0"/>
          <w:szCs w:val="28"/>
        </w:rPr>
        <w:t>无堤防河道，且有经批复的河道治理规划，明确了设计断面的，按规划要求划定河道管理范围线。</w:t>
      </w:r>
    </w:p>
    <w:p>
      <w:pPr>
        <w:ind w:firstLine="560"/>
        <w:rPr>
          <w:rFonts w:cs="Times New Roman"/>
          <w:szCs w:val="28"/>
        </w:rPr>
      </w:pPr>
      <w:r>
        <w:rPr>
          <w:rFonts w:hint="eastAsia" w:cs="Times New Roman"/>
          <w:szCs w:val="28"/>
        </w:rPr>
        <w:t>三</w:t>
      </w:r>
      <w:r>
        <w:rPr>
          <w:rFonts w:cs="Times New Roman"/>
          <w:szCs w:val="28"/>
        </w:rPr>
        <w:t>、特殊情况</w:t>
      </w:r>
    </w:p>
    <w:p>
      <w:pPr>
        <w:ind w:firstLine="560"/>
        <w:rPr>
          <w:rFonts w:cs="Times New Roman"/>
          <w:szCs w:val="28"/>
        </w:rPr>
      </w:pPr>
      <w:r>
        <w:rPr>
          <w:rFonts w:cs="Times New Roman"/>
          <w:szCs w:val="28"/>
        </w:rPr>
        <w:t>如堤防有缺口、不连续，可通过上下游有堤防段平顺连接。</w:t>
      </w:r>
    </w:p>
    <w:p>
      <w:pPr>
        <w:ind w:firstLine="560"/>
        <w:rPr>
          <w:rFonts w:cs="Times New Roman"/>
          <w:szCs w:val="28"/>
        </w:rPr>
      </w:pPr>
      <w:r>
        <w:rPr>
          <w:rFonts w:cs="Times New Roman"/>
          <w:szCs w:val="28"/>
        </w:rPr>
        <w:t>因交通、市政、土地整理等建设对堤身培厚、加宽后有明显堤脚的堤防，其河湖管理范围以背水侧堤脚为基准确定，或以堤后排水沟外口确定。</w:t>
      </w:r>
    </w:p>
    <w:p>
      <w:pPr>
        <w:ind w:firstLine="560"/>
        <w:rPr>
          <w:rFonts w:cs="Times New Roman"/>
          <w:szCs w:val="28"/>
        </w:rPr>
      </w:pPr>
      <w:r>
        <w:rPr>
          <w:rFonts w:cs="Times New Roman"/>
          <w:szCs w:val="28"/>
        </w:rPr>
        <w:t>因交通、市政、土地整理等建设对堤身培厚、加宽后无明显堤脚的，其河湖管理范围线划定至少按达标堤防断面确定堤脚线，再按管理要求划定管理范围线。</w:t>
      </w:r>
    </w:p>
    <w:p>
      <w:pPr>
        <w:ind w:firstLine="560"/>
        <w:rPr>
          <w:rFonts w:cs="Times New Roman"/>
          <w:szCs w:val="28"/>
        </w:rPr>
      </w:pPr>
      <w:r>
        <w:rPr>
          <w:rFonts w:cs="Times New Roman"/>
          <w:szCs w:val="28"/>
        </w:rPr>
        <w:t>堤防直接为防洪挡墙或无明显背水坡脚的，以堤身结构外边界线为划界基准</w:t>
      </w:r>
      <w:r>
        <w:rPr>
          <w:rFonts w:hint="eastAsia" w:cs="Times New Roman"/>
          <w:szCs w:val="28"/>
        </w:rPr>
        <w:t>（图5</w:t>
      </w:r>
      <w:r>
        <w:rPr>
          <w:rFonts w:cs="Times New Roman"/>
          <w:szCs w:val="28"/>
        </w:rPr>
        <w:t>.2</w:t>
      </w:r>
      <w:r>
        <w:rPr>
          <w:rFonts w:hint="eastAsia" w:cs="Times New Roman"/>
          <w:szCs w:val="28"/>
        </w:rPr>
        <w:t>-</w:t>
      </w:r>
      <w:r>
        <w:rPr>
          <w:rFonts w:cs="Times New Roman"/>
          <w:szCs w:val="28"/>
        </w:rPr>
        <w:t>3</w:t>
      </w:r>
      <w:r>
        <w:rPr>
          <w:rFonts w:hint="eastAsia" w:cs="Times New Roman"/>
          <w:szCs w:val="28"/>
        </w:rPr>
        <w:t>）</w:t>
      </w:r>
      <w:r>
        <w:rPr>
          <w:rFonts w:cs="Times New Roman"/>
          <w:szCs w:val="28"/>
        </w:rPr>
        <w:t>。</w:t>
      </w:r>
    </w:p>
    <w:p>
      <w:pPr>
        <w:ind w:firstLine="560"/>
        <w:rPr>
          <w:rFonts w:cs="Times New Roman"/>
          <w:szCs w:val="28"/>
        </w:rPr>
      </w:pPr>
      <w:r>
        <w:rPr>
          <w:rFonts w:hint="eastAsia" w:cs="Times New Roman"/>
          <w:szCs w:val="28"/>
        </w:rPr>
        <w:drawing>
          <wp:inline distT="0" distB="0" distL="0" distR="0">
            <wp:extent cx="3057525" cy="4838700"/>
            <wp:effectExtent l="4763" t="0" r="0" b="0"/>
            <wp:docPr id="5" name="图片 5" descr="堤身结构不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堤身结构不明"/>
                    <pic:cNvPicPr>
                      <a:picLocks noChangeAspect="1" noChangeArrowheads="1"/>
                    </pic:cNvPicPr>
                  </pic:nvPicPr>
                  <pic:blipFill>
                    <a:blip r:embed="rId35" cstate="print">
                      <a:extLst>
                        <a:ext uri="{28A0092B-C50C-407E-A947-70E740481C1C}">
                          <a14:useLocalDpi xmlns:a14="http://schemas.microsoft.com/office/drawing/2010/main" val="0"/>
                        </a:ext>
                      </a:extLst>
                    </a:blip>
                    <a:srcRect l="9734" t="3313" r="6566" b="3033"/>
                    <a:stretch>
                      <a:fillRect/>
                    </a:stretch>
                  </pic:blipFill>
                  <pic:spPr>
                    <a:xfrm rot="-5400000">
                      <a:off x="0" y="0"/>
                      <a:ext cx="3057525" cy="4838700"/>
                    </a:xfrm>
                    <a:prstGeom prst="rect">
                      <a:avLst/>
                    </a:prstGeom>
                    <a:noFill/>
                    <a:ln>
                      <a:noFill/>
                    </a:ln>
                    <a:effectLst/>
                  </pic:spPr>
                </pic:pic>
              </a:graphicData>
            </a:graphic>
          </wp:inline>
        </w:drawing>
      </w:r>
    </w:p>
    <w:p>
      <w:pPr>
        <w:spacing w:after="312" w:afterLines="100"/>
        <w:ind w:firstLine="422"/>
        <w:jc w:val="center"/>
        <w:rPr>
          <w:rFonts w:cs="Times New Roman"/>
          <w:b/>
          <w:sz w:val="21"/>
          <w:szCs w:val="21"/>
        </w:rPr>
      </w:pPr>
      <w:r>
        <w:rPr>
          <w:rFonts w:hint="eastAsia" w:cs="Times New Roman"/>
          <w:b/>
          <w:sz w:val="21"/>
          <w:szCs w:val="21"/>
        </w:rPr>
        <w:t>图</w:t>
      </w:r>
      <w:r>
        <w:rPr>
          <w:rFonts w:cs="Times New Roman"/>
          <w:b/>
          <w:sz w:val="21"/>
          <w:szCs w:val="21"/>
        </w:rPr>
        <w:t>5</w:t>
      </w:r>
      <w:r>
        <w:rPr>
          <w:rFonts w:hint="eastAsia" w:cs="Times New Roman"/>
          <w:b/>
          <w:sz w:val="21"/>
          <w:szCs w:val="21"/>
        </w:rPr>
        <w:t>.</w:t>
      </w:r>
      <w:r>
        <w:rPr>
          <w:rFonts w:cs="Times New Roman"/>
          <w:b/>
          <w:sz w:val="21"/>
          <w:szCs w:val="21"/>
        </w:rPr>
        <w:t>2</w:t>
      </w:r>
      <w:r>
        <w:rPr>
          <w:rFonts w:hint="eastAsia" w:cs="Times New Roman"/>
          <w:b/>
          <w:sz w:val="21"/>
          <w:szCs w:val="21"/>
        </w:rPr>
        <w:t>-</w:t>
      </w:r>
      <w:r>
        <w:rPr>
          <w:rFonts w:cs="Times New Roman"/>
          <w:b/>
          <w:sz w:val="21"/>
          <w:szCs w:val="21"/>
        </w:rPr>
        <w:t>3</w:t>
      </w:r>
      <w:r>
        <w:rPr>
          <w:rFonts w:hint="eastAsia" w:cs="Times New Roman"/>
          <w:b/>
          <w:sz w:val="21"/>
          <w:szCs w:val="21"/>
        </w:rPr>
        <w:t xml:space="preserve">  无明显背水坡脚的河湖管理范围示意图</w:t>
      </w:r>
    </w:p>
    <w:p>
      <w:pPr>
        <w:ind w:firstLine="560"/>
        <w:rPr>
          <w:rFonts w:cs="Times New Roman"/>
          <w:b/>
          <w:sz w:val="21"/>
          <w:szCs w:val="21"/>
        </w:rPr>
      </w:pPr>
      <w:r>
        <w:rPr>
          <w:rFonts w:hint="eastAsia" w:cs="Times New Roman"/>
          <w:szCs w:val="28"/>
        </w:rPr>
        <w:t>河道划界成果划定标准类别编号见表5.2-</w:t>
      </w:r>
      <w:r>
        <w:rPr>
          <w:rFonts w:cs="Times New Roman"/>
          <w:szCs w:val="28"/>
        </w:rPr>
        <w:t>1</w:t>
      </w:r>
      <w:r>
        <w:rPr>
          <w:rFonts w:hint="eastAsia" w:cs="Times New Roman"/>
          <w:szCs w:val="28"/>
        </w:rPr>
        <w:t>。</w:t>
      </w:r>
    </w:p>
    <w:p>
      <w:pPr>
        <w:adjustRightInd w:val="0"/>
        <w:spacing w:before="312" w:beforeLines="100"/>
        <w:ind w:firstLine="0" w:firstLineChars="0"/>
        <w:jc w:val="center"/>
        <w:rPr>
          <w:rFonts w:cs="Times New Roman"/>
          <w:b/>
          <w:sz w:val="21"/>
          <w:szCs w:val="21"/>
        </w:rPr>
      </w:pPr>
      <w:r>
        <w:rPr>
          <w:rFonts w:cs="Times New Roman"/>
          <w:b/>
          <w:sz w:val="21"/>
          <w:szCs w:val="21"/>
        </w:rPr>
        <w:t>表5.2-1 河道划界成果划定标准类别编号表</w:t>
      </w:r>
    </w:p>
    <w:tbl>
      <w:tblPr>
        <w:tblStyle w:val="2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612"/>
        <w:gridCol w:w="1126"/>
        <w:gridCol w:w="70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tblHeader/>
          <w:jc w:val="center"/>
        </w:trPr>
        <w:tc>
          <w:tcPr>
            <w:tcW w:w="8789" w:type="dxa"/>
            <w:gridSpan w:val="3"/>
            <w:vAlign w:val="center"/>
          </w:tcPr>
          <w:p>
            <w:pPr>
              <w:widowControl/>
              <w:ind w:firstLine="0" w:firstLineChars="0"/>
              <w:jc w:val="center"/>
              <w:rPr>
                <w:rFonts w:cs="Times New Roman"/>
                <w:kern w:val="0"/>
                <w:sz w:val="21"/>
                <w:szCs w:val="21"/>
              </w:rPr>
            </w:pPr>
            <w:r>
              <w:rPr>
                <w:rFonts w:cs="Times New Roman"/>
                <w:kern w:val="0"/>
                <w:sz w:val="21"/>
                <w:szCs w:val="21"/>
              </w:rPr>
              <w:t>广东省河湖管理范围划定技术指引（试行）条文</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restart"/>
            <w:vAlign w:val="center"/>
          </w:tcPr>
          <w:p>
            <w:pPr>
              <w:widowControl/>
              <w:ind w:firstLine="0" w:firstLineChars="0"/>
              <w:jc w:val="center"/>
              <w:rPr>
                <w:rFonts w:cs="Times New Roman"/>
                <w:kern w:val="0"/>
                <w:sz w:val="21"/>
                <w:szCs w:val="21"/>
              </w:rPr>
            </w:pPr>
            <w:r>
              <w:rPr>
                <w:rFonts w:cs="Times New Roman"/>
                <w:kern w:val="0"/>
                <w:sz w:val="21"/>
                <w:szCs w:val="21"/>
              </w:rPr>
              <w:t>1有堤防的河道</w:t>
            </w:r>
          </w:p>
        </w:tc>
        <w:tc>
          <w:tcPr>
            <w:tcW w:w="1126" w:type="dxa"/>
            <w:vMerge w:val="restart"/>
            <w:vAlign w:val="center"/>
          </w:tcPr>
          <w:p>
            <w:pPr>
              <w:widowControl/>
              <w:ind w:firstLine="0" w:firstLineChars="0"/>
              <w:jc w:val="center"/>
              <w:rPr>
                <w:rFonts w:cs="Times New Roman"/>
                <w:kern w:val="0"/>
                <w:sz w:val="21"/>
                <w:szCs w:val="21"/>
              </w:rPr>
            </w:pPr>
            <w:r>
              <w:rPr>
                <w:rFonts w:cs="Times New Roman"/>
                <w:kern w:val="0"/>
                <w:sz w:val="21"/>
                <w:szCs w:val="21"/>
              </w:rPr>
              <w:t>1.1 堤防已达标加固</w:t>
            </w:r>
          </w:p>
        </w:tc>
        <w:tc>
          <w:tcPr>
            <w:tcW w:w="7051" w:type="dxa"/>
            <w:vAlign w:val="center"/>
          </w:tcPr>
          <w:p>
            <w:pPr>
              <w:widowControl/>
              <w:ind w:firstLine="0" w:firstLineChars="0"/>
              <w:jc w:val="center"/>
              <w:rPr>
                <w:rFonts w:cs="Times New Roman"/>
                <w:kern w:val="0"/>
                <w:sz w:val="21"/>
                <w:szCs w:val="21"/>
              </w:rPr>
            </w:pPr>
            <w:r>
              <w:rPr>
                <w:rFonts w:cs="Times New Roman"/>
                <w:kern w:val="0"/>
                <w:sz w:val="21"/>
                <w:szCs w:val="21"/>
              </w:rPr>
              <w:t>现状背水侧堤脚线清晰的，以堤脚线为基准进行划界</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1126" w:type="dxa"/>
            <w:vMerge w:val="continue"/>
            <w:vAlign w:val="center"/>
          </w:tcPr>
          <w:p>
            <w:pPr>
              <w:widowControl/>
              <w:ind w:firstLine="0" w:firstLineChars="0"/>
              <w:jc w:val="center"/>
              <w:rPr>
                <w:rFonts w:cs="Times New Roman"/>
                <w:kern w:val="0"/>
                <w:sz w:val="21"/>
                <w:szCs w:val="21"/>
              </w:rPr>
            </w:pPr>
          </w:p>
        </w:tc>
        <w:tc>
          <w:tcPr>
            <w:tcW w:w="7051" w:type="dxa"/>
            <w:vAlign w:val="center"/>
          </w:tcPr>
          <w:p>
            <w:pPr>
              <w:widowControl/>
              <w:ind w:firstLine="0" w:firstLineChars="0"/>
              <w:jc w:val="center"/>
              <w:rPr>
                <w:rFonts w:cs="Times New Roman"/>
                <w:kern w:val="0"/>
                <w:sz w:val="21"/>
                <w:szCs w:val="21"/>
              </w:rPr>
            </w:pPr>
            <w:r>
              <w:rPr>
                <w:rFonts w:cs="Times New Roman"/>
                <w:kern w:val="0"/>
                <w:sz w:val="21"/>
                <w:szCs w:val="21"/>
              </w:rPr>
              <w:t>现状背水侧堤脚线不清晰的，但内侧堤肩线清晰的河道，可以内侧堤肩线为基准确定堤脚线，再进行划界</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1126" w:type="dxa"/>
            <w:vMerge w:val="continue"/>
            <w:vAlign w:val="center"/>
          </w:tcPr>
          <w:p>
            <w:pPr>
              <w:widowControl/>
              <w:ind w:firstLine="0" w:firstLineChars="0"/>
              <w:jc w:val="center"/>
              <w:rPr>
                <w:rFonts w:cs="Times New Roman"/>
                <w:kern w:val="0"/>
                <w:sz w:val="21"/>
                <w:szCs w:val="21"/>
              </w:rPr>
            </w:pPr>
          </w:p>
        </w:tc>
        <w:tc>
          <w:tcPr>
            <w:tcW w:w="7051" w:type="dxa"/>
            <w:vAlign w:val="center"/>
          </w:tcPr>
          <w:p>
            <w:pPr>
              <w:widowControl/>
              <w:ind w:firstLine="0" w:firstLineChars="0"/>
              <w:jc w:val="center"/>
              <w:rPr>
                <w:rFonts w:cs="Times New Roman"/>
                <w:kern w:val="0"/>
                <w:sz w:val="21"/>
                <w:szCs w:val="21"/>
              </w:rPr>
            </w:pPr>
            <w:r>
              <w:rPr>
                <w:rFonts w:cs="Times New Roman"/>
                <w:kern w:val="0"/>
                <w:sz w:val="21"/>
                <w:szCs w:val="21"/>
              </w:rPr>
              <w:t>现状堤身断面不明确，需通过补测现状断面确定背水侧堤脚线，断面间距宜按200~500米布置</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1126" w:type="dxa"/>
            <w:vAlign w:val="center"/>
          </w:tcPr>
          <w:p>
            <w:pPr>
              <w:widowControl/>
              <w:ind w:firstLine="0" w:firstLineChars="0"/>
              <w:jc w:val="center"/>
              <w:rPr>
                <w:rFonts w:cs="Times New Roman"/>
                <w:kern w:val="0"/>
                <w:sz w:val="21"/>
                <w:szCs w:val="21"/>
              </w:rPr>
            </w:pPr>
            <w:r>
              <w:rPr>
                <w:rFonts w:cs="Times New Roman"/>
                <w:kern w:val="0"/>
                <w:sz w:val="21"/>
                <w:szCs w:val="21"/>
              </w:rPr>
              <w:t>1.2 堤防未达标加固</w:t>
            </w:r>
          </w:p>
        </w:tc>
        <w:tc>
          <w:tcPr>
            <w:tcW w:w="7051" w:type="dxa"/>
            <w:vAlign w:val="center"/>
          </w:tcPr>
          <w:p>
            <w:pPr>
              <w:widowControl/>
              <w:ind w:firstLine="0" w:firstLineChars="0"/>
              <w:jc w:val="center"/>
              <w:rPr>
                <w:rFonts w:cs="Times New Roman"/>
                <w:kern w:val="0"/>
                <w:sz w:val="21"/>
                <w:szCs w:val="21"/>
              </w:rPr>
            </w:pPr>
            <w:r>
              <w:rPr>
                <w:rFonts w:cs="Times New Roman"/>
                <w:kern w:val="0"/>
                <w:sz w:val="21"/>
                <w:szCs w:val="21"/>
              </w:rPr>
              <w:t>现状有堤防，但堤防未达标，且有经批复、明确了设计断面的规划，可根据规划断面，确定河道管理范围线</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restart"/>
            <w:vAlign w:val="center"/>
          </w:tcPr>
          <w:p>
            <w:pPr>
              <w:widowControl/>
              <w:ind w:firstLine="0" w:firstLineChars="0"/>
              <w:jc w:val="center"/>
              <w:rPr>
                <w:rFonts w:cs="Times New Roman"/>
                <w:kern w:val="0"/>
                <w:sz w:val="21"/>
                <w:szCs w:val="21"/>
              </w:rPr>
            </w:pPr>
            <w:r>
              <w:rPr>
                <w:rFonts w:cs="Times New Roman"/>
                <w:kern w:val="0"/>
                <w:sz w:val="21"/>
                <w:szCs w:val="21"/>
              </w:rPr>
              <w:t>2 无堤防的河道</w:t>
            </w:r>
          </w:p>
        </w:tc>
        <w:tc>
          <w:tcPr>
            <w:tcW w:w="1126" w:type="dxa"/>
            <w:vMerge w:val="restart"/>
            <w:vAlign w:val="center"/>
          </w:tcPr>
          <w:p>
            <w:pPr>
              <w:widowControl/>
              <w:ind w:firstLine="0" w:firstLineChars="0"/>
              <w:jc w:val="center"/>
              <w:rPr>
                <w:rFonts w:cs="Times New Roman"/>
                <w:kern w:val="0"/>
                <w:sz w:val="21"/>
                <w:szCs w:val="21"/>
              </w:rPr>
            </w:pPr>
            <w:r>
              <w:rPr>
                <w:rFonts w:cs="Times New Roman"/>
                <w:kern w:val="0"/>
                <w:sz w:val="21"/>
                <w:szCs w:val="21"/>
              </w:rPr>
              <w:t>2.1 无堤防河道，无规划要求</w:t>
            </w:r>
          </w:p>
        </w:tc>
        <w:tc>
          <w:tcPr>
            <w:tcW w:w="7051" w:type="dxa"/>
            <w:vAlign w:val="center"/>
          </w:tcPr>
          <w:p>
            <w:pPr>
              <w:widowControl/>
              <w:ind w:firstLine="0" w:firstLineChars="0"/>
              <w:jc w:val="center"/>
              <w:rPr>
                <w:rFonts w:cs="Times New Roman"/>
                <w:kern w:val="0"/>
                <w:sz w:val="21"/>
                <w:szCs w:val="21"/>
              </w:rPr>
            </w:pPr>
            <w:r>
              <w:rPr>
                <w:rFonts w:cs="Times New Roman"/>
                <w:kern w:val="0"/>
                <w:sz w:val="21"/>
                <w:szCs w:val="21"/>
              </w:rPr>
              <w:t>无堤防河道，又无规划要求，山区河道按设计洪水位（或历史最高水位）确定河道管理范围。</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1126" w:type="dxa"/>
            <w:vMerge w:val="continue"/>
            <w:vAlign w:val="center"/>
          </w:tcPr>
          <w:p>
            <w:pPr>
              <w:widowControl/>
              <w:ind w:firstLine="0" w:firstLineChars="0"/>
              <w:jc w:val="center"/>
              <w:rPr>
                <w:rFonts w:cs="Times New Roman"/>
                <w:kern w:val="0"/>
                <w:sz w:val="21"/>
                <w:szCs w:val="21"/>
              </w:rPr>
            </w:pPr>
          </w:p>
        </w:tc>
        <w:tc>
          <w:tcPr>
            <w:tcW w:w="7051" w:type="dxa"/>
            <w:vAlign w:val="center"/>
          </w:tcPr>
          <w:p>
            <w:pPr>
              <w:widowControl/>
              <w:ind w:firstLine="0" w:firstLineChars="0"/>
              <w:jc w:val="center"/>
              <w:rPr>
                <w:rFonts w:cs="Times New Roman"/>
                <w:kern w:val="0"/>
                <w:sz w:val="21"/>
                <w:szCs w:val="21"/>
              </w:rPr>
            </w:pPr>
            <w:r>
              <w:rPr>
                <w:rFonts w:cs="Times New Roman"/>
                <w:kern w:val="0"/>
                <w:sz w:val="21"/>
                <w:szCs w:val="21"/>
              </w:rPr>
              <w:t>平原网河区河道按设计洪水位与岸边交界线外延一定距离确定河道管理范围</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1126" w:type="dxa"/>
            <w:vAlign w:val="center"/>
          </w:tcPr>
          <w:p>
            <w:pPr>
              <w:widowControl/>
              <w:ind w:firstLine="0" w:firstLineChars="0"/>
              <w:jc w:val="center"/>
              <w:rPr>
                <w:rFonts w:cs="Times New Roman"/>
                <w:kern w:val="0"/>
                <w:sz w:val="21"/>
                <w:szCs w:val="21"/>
              </w:rPr>
            </w:pPr>
            <w:r>
              <w:rPr>
                <w:rFonts w:cs="Times New Roman"/>
                <w:kern w:val="0"/>
                <w:sz w:val="21"/>
                <w:szCs w:val="21"/>
              </w:rPr>
              <w:t>2.2无堤防河道，有规划要求</w:t>
            </w:r>
          </w:p>
        </w:tc>
        <w:tc>
          <w:tcPr>
            <w:tcW w:w="7051" w:type="dxa"/>
            <w:vAlign w:val="center"/>
          </w:tcPr>
          <w:p>
            <w:pPr>
              <w:widowControl/>
              <w:ind w:firstLine="0" w:firstLineChars="0"/>
              <w:jc w:val="center"/>
              <w:rPr>
                <w:rFonts w:cs="Times New Roman"/>
                <w:kern w:val="0"/>
                <w:sz w:val="21"/>
                <w:szCs w:val="21"/>
              </w:rPr>
            </w:pPr>
            <w:r>
              <w:rPr>
                <w:rFonts w:cs="Times New Roman"/>
                <w:kern w:val="0"/>
                <w:sz w:val="21"/>
                <w:szCs w:val="21"/>
              </w:rPr>
              <w:t>无堤防河道，且有经批复的河道治理规划，明确了设计断面的，按规划要求划定河道管理范围线。</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Align w:val="center"/>
          </w:tcPr>
          <w:p>
            <w:pPr>
              <w:widowControl/>
              <w:ind w:firstLine="0" w:firstLineChars="0"/>
              <w:jc w:val="center"/>
              <w:rPr>
                <w:rFonts w:cs="Times New Roman"/>
                <w:kern w:val="0"/>
                <w:sz w:val="21"/>
                <w:szCs w:val="21"/>
              </w:rPr>
            </w:pPr>
            <w:r>
              <w:rPr>
                <w:rFonts w:cs="Times New Roman"/>
                <w:kern w:val="0"/>
                <w:sz w:val="21"/>
                <w:szCs w:val="21"/>
              </w:rPr>
              <w:t>3 湖泊</w:t>
            </w:r>
          </w:p>
        </w:tc>
        <w:tc>
          <w:tcPr>
            <w:tcW w:w="8177" w:type="dxa"/>
            <w:gridSpan w:val="2"/>
            <w:vAlign w:val="center"/>
          </w:tcPr>
          <w:p>
            <w:pPr>
              <w:widowControl/>
              <w:ind w:firstLine="0" w:firstLineChars="0"/>
              <w:jc w:val="center"/>
              <w:rPr>
                <w:rFonts w:cs="Times New Roman"/>
                <w:kern w:val="0"/>
                <w:sz w:val="21"/>
                <w:szCs w:val="21"/>
              </w:rPr>
            </w:pPr>
            <w:r>
              <w:rPr>
                <w:rFonts w:cs="Times New Roman"/>
                <w:kern w:val="0"/>
                <w:sz w:val="21"/>
                <w:szCs w:val="21"/>
              </w:rPr>
              <w:t>湖泊管理范围为湖泊设计洪水位以下的区域，包括湖泊水体、湖盆、湖洲、湖滩、湖心岛屿、湖水出入口，以及湖水出入的涵闸、泵站等工程设施及其管理范围</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restart"/>
            <w:vAlign w:val="center"/>
          </w:tcPr>
          <w:p>
            <w:pPr>
              <w:widowControl/>
              <w:ind w:firstLine="0" w:firstLineChars="0"/>
              <w:jc w:val="center"/>
              <w:rPr>
                <w:rFonts w:cs="Times New Roman"/>
                <w:kern w:val="0"/>
                <w:sz w:val="21"/>
                <w:szCs w:val="21"/>
              </w:rPr>
            </w:pPr>
            <w:r>
              <w:rPr>
                <w:rFonts w:cs="Times New Roman"/>
                <w:kern w:val="0"/>
                <w:sz w:val="21"/>
                <w:szCs w:val="21"/>
              </w:rPr>
              <w:t>4 特殊情况</w:t>
            </w:r>
          </w:p>
        </w:tc>
        <w:tc>
          <w:tcPr>
            <w:tcW w:w="8177" w:type="dxa"/>
            <w:gridSpan w:val="2"/>
            <w:vAlign w:val="center"/>
          </w:tcPr>
          <w:p>
            <w:pPr>
              <w:widowControl/>
              <w:ind w:firstLine="0" w:firstLineChars="0"/>
              <w:jc w:val="center"/>
              <w:rPr>
                <w:rFonts w:cs="Times New Roman"/>
                <w:kern w:val="0"/>
                <w:sz w:val="21"/>
                <w:szCs w:val="21"/>
              </w:rPr>
            </w:pPr>
            <w:r>
              <w:rPr>
                <w:rFonts w:cs="Times New Roman"/>
                <w:kern w:val="0"/>
                <w:sz w:val="21"/>
                <w:szCs w:val="21"/>
              </w:rPr>
              <w:t>1、北江大堤管理范围划定要求以《广东省北江大堤管理办法》为准。</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8177" w:type="dxa"/>
            <w:gridSpan w:val="2"/>
            <w:vAlign w:val="center"/>
          </w:tcPr>
          <w:p>
            <w:pPr>
              <w:widowControl/>
              <w:ind w:firstLine="0" w:firstLineChars="0"/>
              <w:jc w:val="center"/>
              <w:rPr>
                <w:rFonts w:cs="Times New Roman"/>
                <w:kern w:val="0"/>
                <w:sz w:val="21"/>
                <w:szCs w:val="21"/>
              </w:rPr>
            </w:pPr>
            <w:r>
              <w:rPr>
                <w:rFonts w:cs="Times New Roman"/>
                <w:kern w:val="0"/>
                <w:sz w:val="21"/>
                <w:szCs w:val="21"/>
              </w:rPr>
              <w:t>2、堤防堆土区较宽的，以堆土区背水侧坡脚线为基准划定范围。</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8177" w:type="dxa"/>
            <w:gridSpan w:val="2"/>
            <w:vAlign w:val="center"/>
          </w:tcPr>
          <w:p>
            <w:pPr>
              <w:widowControl/>
              <w:ind w:firstLine="0" w:firstLineChars="0"/>
              <w:jc w:val="center"/>
              <w:rPr>
                <w:rFonts w:cs="Times New Roman"/>
                <w:kern w:val="0"/>
                <w:sz w:val="21"/>
                <w:szCs w:val="21"/>
              </w:rPr>
            </w:pPr>
            <w:r>
              <w:rPr>
                <w:rFonts w:cs="Times New Roman"/>
                <w:kern w:val="0"/>
                <w:sz w:val="21"/>
                <w:szCs w:val="21"/>
              </w:rPr>
              <w:t>3、如堤防有缺口、不连续，可通过上下游有堤防段平顺连接。</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8177" w:type="dxa"/>
            <w:gridSpan w:val="2"/>
            <w:vAlign w:val="center"/>
          </w:tcPr>
          <w:p>
            <w:pPr>
              <w:widowControl/>
              <w:ind w:firstLine="0" w:firstLineChars="0"/>
              <w:jc w:val="center"/>
              <w:rPr>
                <w:rFonts w:cs="Times New Roman"/>
                <w:kern w:val="0"/>
                <w:sz w:val="21"/>
                <w:szCs w:val="21"/>
              </w:rPr>
            </w:pPr>
            <w:r>
              <w:rPr>
                <w:rFonts w:cs="Times New Roman"/>
                <w:kern w:val="0"/>
                <w:sz w:val="21"/>
                <w:szCs w:val="21"/>
              </w:rPr>
              <w:t>4、因交通、市政、土地整理等建设对堤身培厚、加宽后有明显堤脚的堤防，其河湖管理范围以背水侧堤脚为基准确定，或以堤后排水沟外口确定。</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8177" w:type="dxa"/>
            <w:gridSpan w:val="2"/>
            <w:vAlign w:val="center"/>
          </w:tcPr>
          <w:p>
            <w:pPr>
              <w:widowControl/>
              <w:ind w:firstLine="0" w:firstLineChars="0"/>
              <w:jc w:val="center"/>
              <w:rPr>
                <w:rFonts w:cs="Times New Roman"/>
                <w:kern w:val="0"/>
                <w:sz w:val="21"/>
                <w:szCs w:val="21"/>
              </w:rPr>
            </w:pPr>
            <w:r>
              <w:rPr>
                <w:rFonts w:cs="Times New Roman"/>
                <w:kern w:val="0"/>
                <w:sz w:val="21"/>
                <w:szCs w:val="21"/>
              </w:rPr>
              <w:t>5、因交通、市政、土地整理等建设对堤身培厚、加宽后无明显堤脚的，其河湖管理范围线划定至少按达标堤防断面确定堤脚线，再按管理要求划定管理范围线</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jc w:val="center"/>
        </w:trPr>
        <w:tc>
          <w:tcPr>
            <w:tcW w:w="612" w:type="dxa"/>
            <w:vMerge w:val="continue"/>
            <w:vAlign w:val="center"/>
          </w:tcPr>
          <w:p>
            <w:pPr>
              <w:widowControl/>
              <w:ind w:firstLine="0" w:firstLineChars="0"/>
              <w:jc w:val="center"/>
              <w:rPr>
                <w:rFonts w:cs="Times New Roman"/>
                <w:kern w:val="0"/>
                <w:sz w:val="21"/>
                <w:szCs w:val="21"/>
              </w:rPr>
            </w:pPr>
          </w:p>
        </w:tc>
        <w:tc>
          <w:tcPr>
            <w:tcW w:w="8177" w:type="dxa"/>
            <w:gridSpan w:val="2"/>
            <w:vAlign w:val="center"/>
          </w:tcPr>
          <w:p>
            <w:pPr>
              <w:widowControl/>
              <w:ind w:firstLine="0" w:firstLineChars="0"/>
              <w:jc w:val="center"/>
              <w:rPr>
                <w:rFonts w:cs="Times New Roman"/>
                <w:kern w:val="0"/>
                <w:sz w:val="21"/>
                <w:szCs w:val="21"/>
              </w:rPr>
            </w:pPr>
            <w:r>
              <w:rPr>
                <w:rFonts w:cs="Times New Roman"/>
                <w:kern w:val="0"/>
                <w:sz w:val="21"/>
                <w:szCs w:val="21"/>
              </w:rPr>
              <w:t>6、堤防直接为防洪挡墙或无明显背水坡脚的，以堤身结构外边界线为划界基准。</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08" w:hRule="atLeast"/>
          <w:jc w:val="center"/>
        </w:trPr>
        <w:tc>
          <w:tcPr>
            <w:tcW w:w="8789" w:type="dxa"/>
            <w:gridSpan w:val="3"/>
            <w:vAlign w:val="center"/>
          </w:tcPr>
          <w:p>
            <w:pPr>
              <w:widowControl/>
              <w:ind w:firstLine="0" w:firstLineChars="0"/>
              <w:jc w:val="center"/>
              <w:rPr>
                <w:rFonts w:cs="Times New Roman"/>
                <w:kern w:val="0"/>
                <w:sz w:val="21"/>
                <w:szCs w:val="21"/>
              </w:rPr>
            </w:pPr>
            <w:r>
              <w:rPr>
                <w:rFonts w:cs="Times New Roman"/>
                <w:kern w:val="0"/>
                <w:sz w:val="21"/>
                <w:szCs w:val="21"/>
              </w:rPr>
              <w:t>其它情况（请说明采用的标准）</w:t>
            </w:r>
          </w:p>
        </w:tc>
        <w:tc>
          <w:tcPr>
            <w:tcW w:w="850" w:type="dxa"/>
            <w:vAlign w:val="center"/>
          </w:tcPr>
          <w:p>
            <w:pPr>
              <w:widowControl/>
              <w:ind w:firstLine="0" w:firstLineChars="0"/>
              <w:jc w:val="center"/>
              <w:rPr>
                <w:rFonts w:cs="Times New Roman"/>
                <w:kern w:val="0"/>
                <w:sz w:val="21"/>
                <w:szCs w:val="21"/>
              </w:rPr>
            </w:pPr>
            <w:r>
              <w:rPr>
                <w:rFonts w:cs="Times New Roman"/>
                <w:kern w:val="0"/>
                <w:sz w:val="21"/>
                <w:szCs w:val="21"/>
              </w:rPr>
              <w:t>E（具体说明）</w:t>
            </w:r>
          </w:p>
        </w:tc>
      </w:tr>
    </w:tbl>
    <w:p>
      <w:pPr>
        <w:keepNext/>
        <w:keepLines/>
        <w:spacing w:before="156" w:beforeLines="50"/>
        <w:ind w:firstLine="0" w:firstLineChars="0"/>
        <w:jc w:val="left"/>
        <w:textAlignment w:val="baseline"/>
        <w:outlineLvl w:val="1"/>
        <w:rPr>
          <w:rFonts w:cs="Times New Roman"/>
          <w:b/>
          <w:szCs w:val="28"/>
        </w:rPr>
      </w:pPr>
      <w:bookmarkStart w:id="38" w:name="_Toc27146090"/>
      <w:bookmarkStart w:id="39" w:name="_Toc56103703"/>
      <w:r>
        <w:rPr>
          <w:rFonts w:cs="Times New Roman"/>
          <w:b/>
          <w:szCs w:val="28"/>
        </w:rPr>
        <w:t>5.3 划定工作流程</w:t>
      </w:r>
      <w:bookmarkEnd w:id="38"/>
      <w:bookmarkEnd w:id="39"/>
    </w:p>
    <w:p>
      <w:pPr>
        <w:ind w:firstLine="560"/>
        <w:rPr>
          <w:rFonts w:cs="Times New Roman"/>
          <w:szCs w:val="28"/>
        </w:rPr>
      </w:pPr>
      <w:r>
        <w:rPr>
          <w:rFonts w:cs="Times New Roman"/>
          <w:szCs w:val="28"/>
        </w:rPr>
        <w:t>河湖管理范围划定工作分步实施，流程包括：现状调查、实施方案编制、方案审查及批复、组织实施、成果验收等。</w:t>
      </w:r>
    </w:p>
    <w:p>
      <w:pPr>
        <w:keepNext/>
        <w:keepLines/>
        <w:ind w:firstLine="0" w:firstLineChars="0"/>
        <w:outlineLvl w:val="2"/>
        <w:rPr>
          <w:rFonts w:cs="Times New Roman"/>
          <w:b/>
          <w:bCs/>
          <w:szCs w:val="28"/>
        </w:rPr>
      </w:pPr>
      <w:bookmarkStart w:id="40" w:name="_Toc27146091"/>
      <w:bookmarkStart w:id="41" w:name="_Toc56103704"/>
      <w:r>
        <w:rPr>
          <w:rFonts w:cs="Times New Roman"/>
          <w:b/>
          <w:bCs/>
          <w:szCs w:val="28"/>
        </w:rPr>
        <w:t>5.3.1 现状调查</w:t>
      </w:r>
      <w:bookmarkEnd w:id="40"/>
      <w:bookmarkEnd w:id="41"/>
    </w:p>
    <w:p>
      <w:pPr>
        <w:ind w:firstLine="560"/>
        <w:rPr>
          <w:rFonts w:cs="Times New Roman"/>
          <w:szCs w:val="28"/>
        </w:rPr>
      </w:pPr>
      <w:r>
        <w:rPr>
          <w:rFonts w:cs="Times New Roman"/>
          <w:szCs w:val="28"/>
        </w:rPr>
        <w:t>现状调查可按水利部建设管理与质量安全中心2015年印发的《河湖管理范围和水利工程管理与保护范围划界确权工作调查技术方案》（建安</w:t>
      </w:r>
      <w:r>
        <w:rPr>
          <w:rFonts w:cs="Times New Roman"/>
          <w:color w:val="000000" w:themeColor="text1"/>
          <w:szCs w:val="20"/>
          <w14:textFill>
            <w14:solidFill>
              <w14:schemeClr w14:val="tx1"/>
            </w14:solidFill>
          </w14:textFill>
        </w:rPr>
        <w:t>〔2015〕</w:t>
      </w:r>
      <w:r>
        <w:rPr>
          <w:rFonts w:cs="Times New Roman"/>
          <w:szCs w:val="28"/>
        </w:rPr>
        <w:t>15号）中有关河湖管理范围划定工作调查技术要求执行。</w:t>
      </w:r>
    </w:p>
    <w:p>
      <w:pPr>
        <w:keepNext/>
        <w:keepLines/>
        <w:ind w:firstLine="0" w:firstLineChars="0"/>
        <w:outlineLvl w:val="2"/>
        <w:rPr>
          <w:rFonts w:cs="Times New Roman"/>
          <w:b/>
          <w:bCs/>
          <w:szCs w:val="28"/>
        </w:rPr>
      </w:pPr>
      <w:bookmarkStart w:id="42" w:name="_Toc27146092"/>
      <w:bookmarkStart w:id="43" w:name="_Toc56103705"/>
      <w:r>
        <w:rPr>
          <w:rFonts w:cs="Times New Roman"/>
          <w:b/>
          <w:bCs/>
          <w:szCs w:val="28"/>
        </w:rPr>
        <w:t>5.3.2 实施方案编制</w:t>
      </w:r>
      <w:bookmarkEnd w:id="42"/>
      <w:bookmarkEnd w:id="43"/>
    </w:p>
    <w:p>
      <w:pPr>
        <w:ind w:firstLine="560"/>
        <w:rPr>
          <w:rFonts w:cs="Times New Roman"/>
          <w:szCs w:val="28"/>
        </w:rPr>
      </w:pPr>
      <w:r>
        <w:rPr>
          <w:rFonts w:cs="Times New Roman"/>
          <w:szCs w:val="28"/>
        </w:rPr>
        <w:t>（1）编制主体</w:t>
      </w:r>
    </w:p>
    <w:p>
      <w:pPr>
        <w:ind w:firstLine="560"/>
        <w:rPr>
          <w:rFonts w:cs="Times New Roman"/>
          <w:szCs w:val="28"/>
        </w:rPr>
      </w:pPr>
      <w:r>
        <w:rPr>
          <w:rFonts w:cs="Times New Roman"/>
          <w:szCs w:val="28"/>
        </w:rPr>
        <w:t>《河湖管理范围划定工作实施方案》（以下简称《方案》）的编制按照堤防管理权限和属地管理相结合的原则确定编制主体，有堤防的河道，以堤防管理单位的上一级水行政主管部门作为《方案》编制主体；没有堤防的河道，以县级水行政主管部门作为《方案》编制主体。《方案》编制要以市、县为单元进行编制。</w:t>
      </w:r>
    </w:p>
    <w:p>
      <w:pPr>
        <w:ind w:firstLine="560"/>
        <w:rPr>
          <w:rFonts w:cs="Times New Roman"/>
          <w:szCs w:val="28"/>
        </w:rPr>
      </w:pPr>
      <w:r>
        <w:rPr>
          <w:rFonts w:cs="Times New Roman"/>
          <w:szCs w:val="28"/>
        </w:rPr>
        <w:t>北江大堤所在岸段的河道管理范围划定，由省北江流域管理局作为《方案》编制主体。</w:t>
      </w:r>
    </w:p>
    <w:p>
      <w:pPr>
        <w:ind w:firstLine="560"/>
        <w:rPr>
          <w:rFonts w:cs="Times New Roman"/>
          <w:szCs w:val="28"/>
        </w:rPr>
      </w:pPr>
      <w:r>
        <w:rPr>
          <w:rFonts w:cs="Times New Roman"/>
          <w:szCs w:val="28"/>
        </w:rPr>
        <w:t>（2）方案内容</w:t>
      </w:r>
    </w:p>
    <w:p>
      <w:pPr>
        <w:ind w:firstLine="560"/>
        <w:rPr>
          <w:rFonts w:cs="Times New Roman"/>
          <w:szCs w:val="28"/>
        </w:rPr>
      </w:pPr>
      <w:r>
        <w:rPr>
          <w:rFonts w:cs="Times New Roman"/>
          <w:szCs w:val="28"/>
        </w:rPr>
        <w:t>实施方案的内容可按水利部办公厅2015年印发的《河湖管理范围和水利工程管理与保护范围划定工作实施方案编制大纲》</w:t>
      </w:r>
      <w:r>
        <w:rPr>
          <w:rFonts w:hint="eastAsia" w:cs="Times New Roman"/>
          <w:szCs w:val="28"/>
        </w:rPr>
        <w:t>（</w:t>
      </w:r>
      <w:r>
        <w:rPr>
          <w:rFonts w:cs="Times New Roman"/>
          <w:szCs w:val="28"/>
        </w:rPr>
        <w:t>办建管</w:t>
      </w:r>
      <w:r>
        <w:rPr>
          <w:rFonts w:cs="Times New Roman"/>
          <w:color w:val="000000" w:themeColor="text1"/>
          <w:szCs w:val="20"/>
          <w14:textFill>
            <w14:solidFill>
              <w14:schemeClr w14:val="tx1"/>
            </w14:solidFill>
          </w14:textFill>
        </w:rPr>
        <w:t>〔2015〕</w:t>
      </w:r>
      <w:r>
        <w:rPr>
          <w:rFonts w:cs="Times New Roman"/>
          <w:szCs w:val="28"/>
        </w:rPr>
        <w:t>59号</w:t>
      </w:r>
      <w:r>
        <w:rPr>
          <w:rFonts w:hint="eastAsia" w:cs="Times New Roman"/>
          <w:szCs w:val="28"/>
        </w:rPr>
        <w:t>）</w:t>
      </w:r>
      <w:r>
        <w:rPr>
          <w:rFonts w:cs="Times New Roman"/>
          <w:szCs w:val="28"/>
        </w:rPr>
        <w:t>中有关河湖管理范围划定工作的内容进行编制。</w:t>
      </w:r>
    </w:p>
    <w:p>
      <w:pPr>
        <w:keepNext/>
        <w:keepLines/>
        <w:ind w:firstLine="0" w:firstLineChars="0"/>
        <w:outlineLvl w:val="2"/>
        <w:rPr>
          <w:rFonts w:cs="Times New Roman"/>
          <w:b/>
          <w:bCs/>
          <w:szCs w:val="28"/>
        </w:rPr>
      </w:pPr>
      <w:bookmarkStart w:id="44" w:name="_Toc27146093"/>
      <w:bookmarkStart w:id="45" w:name="_Toc56103706"/>
      <w:r>
        <w:rPr>
          <w:rFonts w:cs="Times New Roman"/>
          <w:b/>
          <w:bCs/>
          <w:szCs w:val="28"/>
        </w:rPr>
        <w:t>5.3.3 方案审查及批复</w:t>
      </w:r>
      <w:bookmarkEnd w:id="44"/>
      <w:bookmarkEnd w:id="45"/>
    </w:p>
    <w:p>
      <w:pPr>
        <w:ind w:firstLine="560"/>
        <w:rPr>
          <w:rFonts w:cs="Times New Roman"/>
          <w:szCs w:val="28"/>
        </w:rPr>
      </w:pPr>
      <w:r>
        <w:rPr>
          <w:rFonts w:cs="Times New Roman"/>
          <w:szCs w:val="28"/>
        </w:rPr>
        <w:t>编制完成的《方案》，须经上一级水行政主管部门进行合规性审查后，报同级人民政府批复。</w:t>
      </w:r>
    </w:p>
    <w:p>
      <w:pPr>
        <w:keepNext/>
        <w:keepLines/>
        <w:ind w:firstLine="0" w:firstLineChars="0"/>
        <w:outlineLvl w:val="2"/>
        <w:rPr>
          <w:rFonts w:cs="Times New Roman"/>
          <w:b/>
          <w:bCs/>
          <w:szCs w:val="28"/>
        </w:rPr>
      </w:pPr>
      <w:bookmarkStart w:id="46" w:name="_Toc56103707"/>
      <w:bookmarkStart w:id="47" w:name="_Toc27146094"/>
      <w:r>
        <w:rPr>
          <w:rFonts w:cs="Times New Roman"/>
          <w:b/>
          <w:bCs/>
          <w:szCs w:val="28"/>
        </w:rPr>
        <w:t>5.3.4 组织实施</w:t>
      </w:r>
      <w:bookmarkEnd w:id="46"/>
      <w:bookmarkEnd w:id="47"/>
    </w:p>
    <w:p>
      <w:pPr>
        <w:ind w:firstLine="560"/>
        <w:rPr>
          <w:rFonts w:cs="Times New Roman"/>
          <w:szCs w:val="28"/>
        </w:rPr>
      </w:pPr>
      <w:r>
        <w:rPr>
          <w:rFonts w:cs="Times New Roman"/>
          <w:szCs w:val="28"/>
        </w:rPr>
        <w:t>1、收集整理河湖管理范围1：10000及以上比例尺的地形图，有条件的地方，可收集整理测绘1：2000以上比例尺的地形图。</w:t>
      </w:r>
    </w:p>
    <w:p>
      <w:pPr>
        <w:ind w:firstLine="560"/>
        <w:rPr>
          <w:rFonts w:cs="Times New Roman"/>
          <w:szCs w:val="28"/>
        </w:rPr>
      </w:pPr>
      <w:r>
        <w:rPr>
          <w:rFonts w:cs="Times New Roman"/>
          <w:szCs w:val="28"/>
        </w:rPr>
        <w:t>2、以地形图为底图，可辅以高精度正射影像图，采用内外作业方式，先进行图上作业，完成管理范围线布置，在一定间隔和拐点处预布界桩点；再通过外业，根据设计图纸对管理范围线和界桩点现场测量放样，复核成果。</w:t>
      </w:r>
    </w:p>
    <w:p>
      <w:pPr>
        <w:ind w:firstLine="560"/>
        <w:rPr>
          <w:rFonts w:cs="Times New Roman"/>
          <w:szCs w:val="28"/>
        </w:rPr>
      </w:pPr>
      <w:r>
        <w:rPr>
          <w:rFonts w:cs="Times New Roman"/>
          <w:szCs w:val="28"/>
        </w:rPr>
        <w:t>3、河湖管理范围内的界桩制作与安装。</w:t>
      </w:r>
    </w:p>
    <w:p>
      <w:pPr>
        <w:ind w:firstLine="560"/>
        <w:rPr>
          <w:rFonts w:cs="Times New Roman"/>
          <w:szCs w:val="28"/>
        </w:rPr>
      </w:pPr>
      <w:r>
        <w:rPr>
          <w:rFonts w:cs="Times New Roman"/>
          <w:szCs w:val="28"/>
        </w:rPr>
        <w:t>4、根据实地放样情况，形成河湖管理范围界线及界桩点设置平面图，制作与安装河道管理范围标示牌。</w:t>
      </w:r>
    </w:p>
    <w:p>
      <w:pPr>
        <w:ind w:firstLine="560"/>
        <w:rPr>
          <w:rFonts w:cs="Times New Roman"/>
          <w:szCs w:val="28"/>
        </w:rPr>
      </w:pPr>
      <w:r>
        <w:rPr>
          <w:rFonts w:cs="Times New Roman"/>
          <w:szCs w:val="28"/>
        </w:rPr>
        <w:t>5、县级以上人民政府通过通知公告、网站、电视、报纸、手机短信、微信公众号等多种形式向社会公告河道管理范围平面图及其有关管理要求。</w:t>
      </w:r>
    </w:p>
    <w:p>
      <w:pPr>
        <w:ind w:firstLine="560"/>
        <w:rPr>
          <w:rFonts w:cs="Times New Roman"/>
          <w:szCs w:val="28"/>
        </w:rPr>
      </w:pPr>
      <w:r>
        <w:rPr>
          <w:rFonts w:cs="Times New Roman"/>
          <w:szCs w:val="28"/>
        </w:rPr>
        <w:t>6、编制河湖管理范围划定成果报告（包括:报告书正文、管理范围界线及界桩点设置平面图、控制点成果表、界桩成果表、标示牌成果表、政府公告情况）。</w:t>
      </w:r>
    </w:p>
    <w:p>
      <w:pPr>
        <w:keepNext/>
        <w:keepLines/>
        <w:ind w:firstLine="0" w:firstLineChars="0"/>
        <w:outlineLvl w:val="2"/>
        <w:rPr>
          <w:rFonts w:cs="Times New Roman"/>
          <w:b/>
          <w:bCs/>
          <w:szCs w:val="28"/>
        </w:rPr>
      </w:pPr>
      <w:bookmarkStart w:id="48" w:name="_Toc27146095"/>
      <w:bookmarkStart w:id="49" w:name="_Toc56103708"/>
      <w:r>
        <w:rPr>
          <w:rFonts w:cs="Times New Roman"/>
          <w:b/>
          <w:bCs/>
          <w:szCs w:val="28"/>
        </w:rPr>
        <w:t>5.3.5 成果验收</w:t>
      </w:r>
      <w:bookmarkEnd w:id="48"/>
      <w:bookmarkEnd w:id="49"/>
    </w:p>
    <w:p>
      <w:pPr>
        <w:ind w:firstLine="560"/>
        <w:rPr>
          <w:rFonts w:cs="Times New Roman"/>
          <w:szCs w:val="28"/>
        </w:rPr>
      </w:pPr>
      <w:r>
        <w:rPr>
          <w:rFonts w:cs="Times New Roman"/>
          <w:szCs w:val="28"/>
        </w:rPr>
        <w:t>河湖管理范围划定工作完成后，由县级以上人民政府组织相关部门组成验收组，通过查看内业资料及随机实地抽验等方式，对划界成果进行验收。</w:t>
      </w:r>
    </w:p>
    <w:p>
      <w:pPr>
        <w:keepNext/>
        <w:keepLines/>
        <w:spacing w:before="156" w:beforeLines="50"/>
        <w:ind w:firstLine="0" w:firstLineChars="0"/>
        <w:jc w:val="left"/>
        <w:textAlignment w:val="baseline"/>
        <w:outlineLvl w:val="1"/>
        <w:rPr>
          <w:rFonts w:cs="Times New Roman"/>
          <w:b/>
          <w:szCs w:val="28"/>
        </w:rPr>
      </w:pPr>
      <w:bookmarkStart w:id="50" w:name="_Toc27146096"/>
      <w:bookmarkStart w:id="51" w:name="_Toc56103709"/>
      <w:r>
        <w:rPr>
          <w:rFonts w:cs="Times New Roman"/>
          <w:b/>
          <w:szCs w:val="28"/>
        </w:rPr>
        <w:t>5.4 划定成果要求</w:t>
      </w:r>
      <w:bookmarkEnd w:id="50"/>
      <w:bookmarkEnd w:id="51"/>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①</w:t>
      </w:r>
      <w:r>
        <w:rPr>
          <w:rFonts w:cs="Times New Roman"/>
          <w:color w:val="000000" w:themeColor="text1"/>
          <w:szCs w:val="20"/>
          <w14:textFill>
            <w14:solidFill>
              <w14:schemeClr w14:val="tx1"/>
            </w14:solidFill>
          </w14:textFill>
        </w:rPr>
        <w:t>划线底图应尽量采用大比例尺地形图，可辅以正射影像图，应尽量利用现有测绘、水利、国土、规划等图件。</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②</w:t>
      </w:r>
      <w:r>
        <w:rPr>
          <w:rFonts w:cs="Times New Roman"/>
          <w:color w:val="000000" w:themeColor="text1"/>
          <w:szCs w:val="20"/>
          <w14:textFill>
            <w14:solidFill>
              <w14:schemeClr w14:val="tx1"/>
            </w14:solidFill>
          </w14:textFill>
        </w:rPr>
        <w:t>图幅采用国家标准分幅，地形图编号采用流水编号法，在一个区县内按河道自西向东或从北向南流水编号，按照河道编制图幅拼接表。成图图幅一般以A3图幅为基本图幅。必要时可加长，一般不宜加宽。</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③</w:t>
      </w:r>
      <w:r>
        <w:rPr>
          <w:rFonts w:cs="Times New Roman"/>
          <w:color w:val="000000" w:themeColor="text1"/>
          <w:szCs w:val="20"/>
          <w14:textFill>
            <w14:solidFill>
              <w14:schemeClr w14:val="tx1"/>
            </w14:solidFill>
          </w14:textFill>
        </w:rPr>
        <w:t>划线电子成果图件成果可存储为Shapefile和DWG/DXF格式，其中Shapefile格式为系统上报所需格式。电子图件成果采用CAD软件DWG/DXF格式或ARCGIS软件Shapefile或GDB格式。对于其他附图电子成果可采用彩色TIFF或JPG格式，分辨率不应小于300 dpi。</w:t>
      </w:r>
    </w:p>
    <w:p>
      <w:pPr>
        <w:ind w:firstLine="560"/>
        <w:rPr>
          <w:rFonts w:cs="Times New Roman"/>
          <w:szCs w:val="28"/>
        </w:rPr>
      </w:pPr>
      <w:r>
        <w:rPr>
          <w:rFonts w:hint="eastAsia" w:ascii="宋体" w:hAnsi="宋体" w:cs="宋体"/>
          <w:color w:val="000000" w:themeColor="text1"/>
          <w:szCs w:val="20"/>
          <w14:textFill>
            <w14:solidFill>
              <w14:schemeClr w14:val="tx1"/>
            </w14:solidFill>
          </w14:textFill>
        </w:rPr>
        <w:t>④</w:t>
      </w:r>
      <w:r>
        <w:rPr>
          <w:rFonts w:cs="Times New Roman"/>
          <w:color w:val="000000" w:themeColor="text1"/>
          <w:szCs w:val="20"/>
          <w14:textFill>
            <w14:solidFill>
              <w14:schemeClr w14:val="tx1"/>
            </w14:solidFill>
          </w14:textFill>
        </w:rPr>
        <w:t>管理范围线控制点布设间距以50</w:t>
      </w:r>
      <w:r>
        <w:rPr>
          <w:rFonts w:cs="Times New Roman"/>
          <w:kern w:val="0"/>
          <w:szCs w:val="28"/>
        </w:rPr>
        <w:t>～</w:t>
      </w:r>
      <w:r>
        <w:rPr>
          <w:rFonts w:cs="Times New Roman"/>
          <w:color w:val="000000" w:themeColor="text1"/>
          <w:szCs w:val="20"/>
          <w14:textFill>
            <w14:solidFill>
              <w14:schemeClr w14:val="tx1"/>
            </w14:solidFill>
          </w14:textFill>
        </w:rPr>
        <w:t>200 m为宜，局部河段根据实际情况可加密布设。底图范围边界应满足管理范围线以外20 m（平面）以上，或设计（校核、历史最高）洪水位5.0 m（高程）以上，在此范围内若遇到顺河道的带状地物应完整表示。</w:t>
      </w:r>
    </w:p>
    <w:p>
      <w:pPr>
        <w:keepNext/>
        <w:keepLines/>
        <w:spacing w:before="156" w:beforeLines="50"/>
        <w:ind w:firstLine="0" w:firstLineChars="0"/>
        <w:jc w:val="left"/>
        <w:textAlignment w:val="baseline"/>
        <w:outlineLvl w:val="1"/>
        <w:rPr>
          <w:rFonts w:cs="Times New Roman"/>
          <w:b/>
          <w:szCs w:val="28"/>
        </w:rPr>
      </w:pPr>
      <w:bookmarkStart w:id="52" w:name="_Toc56103710"/>
      <w:r>
        <w:rPr>
          <w:rFonts w:cs="Times New Roman"/>
          <w:b/>
          <w:szCs w:val="28"/>
        </w:rPr>
        <w:t>5.5 划定方案</w:t>
      </w:r>
      <w:bookmarkEnd w:id="52"/>
    </w:p>
    <w:p>
      <w:pPr>
        <w:ind w:firstLine="560"/>
        <w:rPr>
          <w:rFonts w:cs="Times New Roman"/>
          <w:szCs w:val="28"/>
        </w:rPr>
      </w:pPr>
      <w:r>
        <w:rPr>
          <w:rFonts w:cs="Times New Roman"/>
          <w:szCs w:val="28"/>
        </w:rPr>
        <w:t>本次</w:t>
      </w:r>
      <w:r>
        <w:rPr>
          <w:rFonts w:hint="eastAsia" w:cs="Times New Roman"/>
          <w:szCs w:val="28"/>
        </w:rPr>
        <w:t>华侨管理</w:t>
      </w:r>
      <w:r>
        <w:rPr>
          <w:rFonts w:cs="Times New Roman"/>
          <w:szCs w:val="28"/>
        </w:rPr>
        <w:t>区河湖管理范围的确定，根据河流两岸的地形情况，结合各河流走向和堤围的布置，在充分保证河道行洪断面宽度、确保行洪安全的前提下根据各段的具体情况提出规划岸线边界线。</w:t>
      </w:r>
    </w:p>
    <w:p>
      <w:pPr>
        <w:keepNext/>
        <w:keepLines/>
        <w:ind w:firstLine="0" w:firstLineChars="0"/>
        <w:outlineLvl w:val="2"/>
        <w:rPr>
          <w:rFonts w:cs="Times New Roman"/>
          <w:b/>
          <w:bCs/>
          <w:szCs w:val="28"/>
        </w:rPr>
      </w:pPr>
      <w:bookmarkStart w:id="53" w:name="_Toc56103711"/>
      <w:r>
        <w:rPr>
          <w:rFonts w:cs="Times New Roman"/>
          <w:b/>
          <w:bCs/>
          <w:szCs w:val="28"/>
        </w:rPr>
        <w:t>5.5.1 现状调查</w:t>
      </w:r>
      <w:bookmarkEnd w:id="53"/>
    </w:p>
    <w:p>
      <w:pPr>
        <w:ind w:firstLine="560"/>
        <w:rPr>
          <w:rFonts w:cs="Times New Roman"/>
          <w:szCs w:val="28"/>
        </w:rPr>
      </w:pPr>
      <w:r>
        <w:rPr>
          <w:rFonts w:cs="Times New Roman"/>
          <w:szCs w:val="28"/>
        </w:rPr>
        <w:t>根据河湖划界需要在2020年8月进行了</w:t>
      </w:r>
      <w:r>
        <w:rPr>
          <w:rFonts w:hint="eastAsia" w:cs="Times New Roman"/>
          <w:szCs w:val="28"/>
        </w:rPr>
        <w:t>鳌江（港仔溪）华侨管理区段</w:t>
      </w:r>
      <w:r>
        <w:rPr>
          <w:rFonts w:cs="Times New Roman"/>
          <w:szCs w:val="28"/>
        </w:rPr>
        <w:t>的划界调研工作。</w:t>
      </w:r>
    </w:p>
    <w:p>
      <w:pPr>
        <w:spacing w:line="240" w:lineRule="auto"/>
        <w:ind w:firstLine="560"/>
        <w:jc w:val="center"/>
        <w:rPr>
          <w:rFonts w:cs="Times New Roman"/>
          <w:b/>
          <w:sz w:val="24"/>
          <w:szCs w:val="20"/>
        </w:rPr>
      </w:pPr>
      <w:r>
        <w:drawing>
          <wp:inline distT="0" distB="0" distL="0" distR="0">
            <wp:extent cx="4679950" cy="2372360"/>
            <wp:effectExtent l="0" t="0" r="635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4680000" cy="2372506"/>
                    </a:xfrm>
                    <a:prstGeom prst="rect">
                      <a:avLst/>
                    </a:prstGeom>
                  </pic:spPr>
                </pic:pic>
              </a:graphicData>
            </a:graphic>
          </wp:inline>
        </w:drawing>
      </w:r>
    </w:p>
    <w:p>
      <w:pPr>
        <w:spacing w:after="312" w:afterLines="100"/>
        <w:ind w:firstLine="422"/>
        <w:jc w:val="center"/>
        <w:rPr>
          <w:rFonts w:cs="Times New Roman"/>
          <w:b/>
          <w:sz w:val="21"/>
          <w:szCs w:val="21"/>
        </w:rPr>
      </w:pPr>
      <w:r>
        <w:rPr>
          <w:rFonts w:cs="Times New Roman"/>
          <w:b/>
          <w:sz w:val="21"/>
          <w:szCs w:val="21"/>
        </w:rPr>
        <w:t>图5.5-1调研实景（</w:t>
      </w:r>
      <w:r>
        <w:rPr>
          <w:rFonts w:hint="eastAsia" w:cs="Times New Roman"/>
          <w:b/>
          <w:sz w:val="21"/>
          <w:szCs w:val="21"/>
        </w:rPr>
        <w:t>奎池桥</w:t>
      </w:r>
      <w:r>
        <w:rPr>
          <w:rFonts w:cs="Times New Roman"/>
          <w:b/>
          <w:sz w:val="21"/>
          <w:szCs w:val="21"/>
        </w:rPr>
        <w:t>）</w:t>
      </w:r>
    </w:p>
    <w:p>
      <w:pPr>
        <w:spacing w:line="240" w:lineRule="auto"/>
        <w:ind w:firstLine="560"/>
        <w:jc w:val="center"/>
        <w:rPr>
          <w:rFonts w:cs="Times New Roman"/>
          <w:b/>
          <w:sz w:val="24"/>
          <w:szCs w:val="20"/>
        </w:rPr>
      </w:pPr>
      <w:r>
        <w:drawing>
          <wp:inline distT="0" distB="0" distL="0" distR="0">
            <wp:extent cx="4679950" cy="26549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4680000" cy="2655268"/>
                    </a:xfrm>
                    <a:prstGeom prst="rect">
                      <a:avLst/>
                    </a:prstGeom>
                  </pic:spPr>
                </pic:pic>
              </a:graphicData>
            </a:graphic>
          </wp:inline>
        </w:drawing>
      </w:r>
    </w:p>
    <w:p>
      <w:pPr>
        <w:spacing w:after="312" w:afterLines="100"/>
        <w:ind w:firstLine="422"/>
        <w:jc w:val="center"/>
        <w:rPr>
          <w:rFonts w:cs="Times New Roman"/>
          <w:b/>
          <w:sz w:val="21"/>
          <w:szCs w:val="21"/>
        </w:rPr>
      </w:pPr>
      <w:r>
        <w:rPr>
          <w:rFonts w:cs="Times New Roman"/>
          <w:b/>
          <w:sz w:val="21"/>
          <w:szCs w:val="21"/>
        </w:rPr>
        <w:t>图5.5-2调研实景</w:t>
      </w:r>
    </w:p>
    <w:p>
      <w:pPr>
        <w:spacing w:line="240" w:lineRule="auto"/>
        <w:ind w:firstLine="560"/>
        <w:jc w:val="center"/>
        <w:rPr>
          <w:rFonts w:cs="Times New Roman"/>
          <w:b/>
          <w:sz w:val="24"/>
          <w:szCs w:val="20"/>
        </w:rPr>
      </w:pPr>
      <w:r>
        <w:drawing>
          <wp:inline distT="0" distB="0" distL="0" distR="0">
            <wp:extent cx="4679950" cy="259842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a:stretch>
                      <a:fillRect/>
                    </a:stretch>
                  </pic:blipFill>
                  <pic:spPr>
                    <a:xfrm>
                      <a:off x="0" y="0"/>
                      <a:ext cx="4680000" cy="2598509"/>
                    </a:xfrm>
                    <a:prstGeom prst="rect">
                      <a:avLst/>
                    </a:prstGeom>
                  </pic:spPr>
                </pic:pic>
              </a:graphicData>
            </a:graphic>
          </wp:inline>
        </w:drawing>
      </w:r>
    </w:p>
    <w:p>
      <w:pPr>
        <w:spacing w:after="312" w:afterLines="100"/>
        <w:ind w:firstLine="422"/>
        <w:jc w:val="center"/>
        <w:rPr>
          <w:rFonts w:cs="Times New Roman"/>
          <w:b/>
          <w:sz w:val="21"/>
          <w:szCs w:val="21"/>
        </w:rPr>
      </w:pPr>
      <w:r>
        <w:rPr>
          <w:rFonts w:cs="Times New Roman"/>
          <w:b/>
          <w:sz w:val="21"/>
          <w:szCs w:val="21"/>
        </w:rPr>
        <w:t>图5.5-3调研实景（</w:t>
      </w:r>
      <w:r>
        <w:rPr>
          <w:rFonts w:hint="eastAsia" w:cs="Times New Roman"/>
          <w:b/>
          <w:sz w:val="21"/>
          <w:szCs w:val="21"/>
        </w:rPr>
        <w:t>五村附近</w:t>
      </w:r>
      <w:r>
        <w:rPr>
          <w:rFonts w:cs="Times New Roman"/>
          <w:b/>
          <w:sz w:val="21"/>
          <w:szCs w:val="21"/>
        </w:rPr>
        <w:t>）</w:t>
      </w:r>
    </w:p>
    <w:p>
      <w:pPr>
        <w:spacing w:after="312" w:afterLines="100"/>
        <w:ind w:firstLine="560"/>
        <w:jc w:val="center"/>
        <w:rPr>
          <w:rFonts w:cs="Times New Roman"/>
          <w:b/>
          <w:sz w:val="21"/>
          <w:szCs w:val="21"/>
        </w:rPr>
      </w:pPr>
      <w:r>
        <w:drawing>
          <wp:inline distT="0" distB="0" distL="0" distR="0">
            <wp:extent cx="4679950" cy="254063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4680000" cy="2540719"/>
                    </a:xfrm>
                    <a:prstGeom prst="rect">
                      <a:avLst/>
                    </a:prstGeom>
                  </pic:spPr>
                </pic:pic>
              </a:graphicData>
            </a:graphic>
          </wp:inline>
        </w:drawing>
      </w:r>
    </w:p>
    <w:p>
      <w:pPr>
        <w:spacing w:after="312" w:afterLines="100"/>
        <w:ind w:firstLine="422"/>
        <w:jc w:val="center"/>
        <w:rPr>
          <w:rFonts w:cs="Times New Roman"/>
          <w:b/>
          <w:sz w:val="21"/>
          <w:szCs w:val="21"/>
        </w:rPr>
      </w:pPr>
      <w:r>
        <w:rPr>
          <w:rFonts w:cs="Times New Roman"/>
          <w:b/>
          <w:sz w:val="21"/>
          <w:szCs w:val="21"/>
        </w:rPr>
        <w:t>图5.5-4调研实景</w:t>
      </w:r>
    </w:p>
    <w:p>
      <w:pPr>
        <w:keepNext/>
        <w:keepLines/>
        <w:ind w:firstLine="0" w:firstLineChars="0"/>
        <w:outlineLvl w:val="2"/>
        <w:rPr>
          <w:rFonts w:cs="Times New Roman"/>
          <w:b/>
          <w:bCs/>
          <w:szCs w:val="28"/>
        </w:rPr>
      </w:pPr>
      <w:bookmarkStart w:id="54" w:name="_Toc56103712"/>
      <w:r>
        <w:rPr>
          <w:rFonts w:cs="Times New Roman"/>
          <w:b/>
          <w:bCs/>
          <w:szCs w:val="28"/>
        </w:rPr>
        <w:t>5.5.2 划界方案</w:t>
      </w:r>
      <w:bookmarkEnd w:id="54"/>
    </w:p>
    <w:p>
      <w:pPr>
        <w:ind w:firstLine="560"/>
        <w:rPr>
          <w:rFonts w:cs="Times New Roman"/>
        </w:rPr>
      </w:pPr>
      <w:r>
        <w:rPr>
          <w:rFonts w:hint="eastAsia" w:cs="Times New Roman"/>
        </w:rPr>
        <w:t>a</w:t>
      </w:r>
      <w:r>
        <w:rPr>
          <w:rFonts w:cs="Times New Roman"/>
        </w:rPr>
        <w:t>)</w:t>
      </w:r>
      <w:r>
        <w:rPr>
          <w:rFonts w:hint="eastAsia" w:cs="Times New Roman"/>
        </w:rPr>
        <w:t>对于有堤防工程（护岸）的河段，根据《广东省河湖管理范围划定技术指引（试行）》，“堤防直接为防洪挡墙或无明显背水坡脚的，以堤身结构外边界线为划界基准”。根据《汕尾市华侨管理区港仔溪治理工程初步设计报告》和《堤防工程设计规范》，鳌江（港仔溪）护岸规划</w:t>
      </w:r>
      <w:r>
        <w:rPr>
          <w:rFonts w:cs="Times New Roman"/>
        </w:rPr>
        <w:t>防护工程级别为5级，</w:t>
      </w:r>
      <w:r>
        <w:rPr>
          <w:rFonts w:hint="eastAsia" w:cs="Times New Roman"/>
        </w:rPr>
        <w:t>其护堤地宽度应为</w:t>
      </w:r>
      <w:r>
        <w:rPr>
          <w:rFonts w:cs="Times New Roman"/>
        </w:rPr>
        <w:t>5</w:t>
      </w:r>
      <w:r>
        <w:rPr>
          <w:rFonts w:hint="eastAsia" w:cs="Times New Roman"/>
        </w:rPr>
        <w:t>～</w:t>
      </w:r>
      <w:r>
        <w:rPr>
          <w:rFonts w:cs="Times New Roman"/>
        </w:rPr>
        <w:t>10 m</w:t>
      </w:r>
      <w:r>
        <w:rPr>
          <w:rFonts w:hint="eastAsia" w:cs="Times New Roman"/>
        </w:rPr>
        <w:t>。该护岸段管理范围边线按护岸结构外边界线为起算线外延</w:t>
      </w:r>
      <w:r>
        <w:rPr>
          <w:rFonts w:cs="Times New Roman"/>
        </w:rPr>
        <w:t>10m</w:t>
      </w:r>
      <w:r>
        <w:rPr>
          <w:rFonts w:hint="eastAsia" w:cs="Times New Roman"/>
        </w:rPr>
        <w:t>确定。</w:t>
      </w:r>
    </w:p>
    <w:p>
      <w:pPr>
        <w:ind w:firstLine="560"/>
        <w:rPr>
          <w:rFonts w:cs="Times New Roman"/>
        </w:rPr>
      </w:pPr>
      <w:r>
        <w:rPr>
          <w:rFonts w:hint="eastAsia" w:cs="Times New Roman"/>
        </w:rPr>
        <w:t>b</w:t>
      </w:r>
      <w:r>
        <w:rPr>
          <w:rFonts w:cs="Times New Roman"/>
        </w:rPr>
        <w:t>)对于无堤无规划平原段，根据《广东省河湖管理范围划定技术指引（试行）》，河道管理范围以设计洪水位（5年一遇）与岸边交界为起算线外延5m</w:t>
      </w:r>
      <w:r>
        <w:rPr>
          <w:rFonts w:hint="eastAsia" w:cs="Times New Roman"/>
        </w:rPr>
        <w:t>确定</w:t>
      </w:r>
      <w:r>
        <w:rPr>
          <w:rFonts w:cs="Times New Roman"/>
        </w:rPr>
        <w:t>。</w:t>
      </w:r>
    </w:p>
    <w:p>
      <w:pPr>
        <w:ind w:firstLine="560"/>
        <w:rPr>
          <w:rFonts w:cs="Times New Roman"/>
        </w:rPr>
      </w:pPr>
      <w:r>
        <w:rPr>
          <w:rFonts w:cs="Times New Roman"/>
        </w:rPr>
        <w:t>c)对于没有防洪要求的河段，按无堤不设防段划界，参照《广东省中小河流治理</w:t>
      </w:r>
      <w:r>
        <w:rPr>
          <w:rFonts w:hint="eastAsia" w:cs="Times New Roman"/>
        </w:rPr>
        <w:t>工程</w:t>
      </w:r>
      <w:r>
        <w:rPr>
          <w:rFonts w:cs="Times New Roman"/>
        </w:rPr>
        <w:t>设计</w:t>
      </w:r>
      <w:r>
        <w:rPr>
          <w:rFonts w:hint="eastAsia" w:cs="Times New Roman"/>
        </w:rPr>
        <w:t>指南</w:t>
      </w:r>
      <w:r>
        <w:rPr>
          <w:rFonts w:cs="Times New Roman"/>
        </w:rPr>
        <w:t>》，河道两岸管理边界线按现状岸线为起算线向外延伸10m确定。</w:t>
      </w:r>
    </w:p>
    <w:p>
      <w:pPr>
        <w:ind w:firstLine="560"/>
        <w:rPr>
          <w:rFonts w:cs="Times New Roman"/>
        </w:rPr>
      </w:pPr>
      <w:r>
        <w:rPr>
          <w:rFonts w:cs="Times New Roman"/>
        </w:rPr>
        <w:t>本次</w:t>
      </w:r>
      <w:r>
        <w:rPr>
          <w:rFonts w:hint="eastAsia" w:cs="Times New Roman"/>
          <w:szCs w:val="28"/>
        </w:rPr>
        <w:t>鳌江（港仔溪）</w:t>
      </w:r>
      <w:r>
        <w:rPr>
          <w:rFonts w:cs="Times New Roman"/>
        </w:rPr>
        <w:t>各段划界方法如表5.5-1，控制点坐标详见附表1。</w:t>
      </w:r>
    </w:p>
    <w:p>
      <w:pPr>
        <w:spacing w:before="312" w:beforeLines="100"/>
        <w:ind w:firstLine="0" w:firstLineChars="0"/>
        <w:jc w:val="center"/>
        <w:rPr>
          <w:rFonts w:cs="Times New Roman"/>
          <w:b/>
          <w:sz w:val="21"/>
          <w:szCs w:val="21"/>
        </w:rPr>
      </w:pPr>
      <w:r>
        <w:rPr>
          <w:rFonts w:cs="Times New Roman"/>
          <w:b/>
          <w:sz w:val="21"/>
          <w:szCs w:val="21"/>
        </w:rPr>
        <w:t xml:space="preserve">表5.5-1 </w:t>
      </w:r>
      <w:r>
        <w:rPr>
          <w:rFonts w:hint="eastAsia" w:cs="Times New Roman"/>
          <w:b/>
          <w:sz w:val="21"/>
          <w:szCs w:val="21"/>
        </w:rPr>
        <w:t>鳌江（港仔溪）</w:t>
      </w:r>
      <w:r>
        <w:rPr>
          <w:rFonts w:cs="Times New Roman"/>
          <w:b/>
          <w:sz w:val="21"/>
          <w:szCs w:val="21"/>
        </w:rPr>
        <w:t>划界方法表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9"/>
        <w:gridCol w:w="1524"/>
        <w:gridCol w:w="3271"/>
        <w:gridCol w:w="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5000" w:type="pct"/>
            <w:gridSpan w:val="4"/>
            <w:noWrap/>
          </w:tcPr>
          <w:p>
            <w:pPr>
              <w:pStyle w:val="152"/>
              <w:ind w:firstLine="0"/>
              <w:jc w:val="center"/>
              <w:rPr>
                <w:rFonts w:eastAsia="宋体" w:cs="Times New Roman"/>
                <w:sz w:val="21"/>
                <w:szCs w:val="21"/>
                <w:highlight w:val="yellow"/>
              </w:rPr>
            </w:pPr>
            <w:r>
              <w:rPr>
                <w:rFonts w:hint="eastAsia" w:eastAsia="宋体" w:cs="Times New Roman"/>
                <w:sz w:val="21"/>
                <w:szCs w:val="21"/>
              </w:rPr>
              <w:t>鳌江（港仔溪）右岸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序号</w:t>
            </w:r>
          </w:p>
        </w:tc>
        <w:tc>
          <w:tcPr>
            <w:tcW w:w="876" w:type="pct"/>
            <w:noWrap/>
          </w:tcPr>
          <w:p>
            <w:pPr>
              <w:pStyle w:val="152"/>
              <w:ind w:firstLine="0"/>
              <w:jc w:val="center"/>
              <w:rPr>
                <w:rFonts w:eastAsia="宋体" w:cs="Times New Roman"/>
                <w:sz w:val="21"/>
                <w:szCs w:val="21"/>
              </w:rPr>
            </w:pPr>
            <w:r>
              <w:rPr>
                <w:rFonts w:hint="eastAsia" w:eastAsia="宋体" w:cs="Times New Roman"/>
                <w:sz w:val="21"/>
                <w:szCs w:val="21"/>
              </w:rPr>
              <w:t>控制点</w:t>
            </w:r>
            <w:r>
              <w:rPr>
                <w:rFonts w:eastAsia="宋体" w:cs="Times New Roman"/>
                <w:sz w:val="21"/>
                <w:szCs w:val="21"/>
              </w:rPr>
              <w:t>范围</w:t>
            </w:r>
          </w:p>
        </w:tc>
        <w:tc>
          <w:tcPr>
            <w:tcW w:w="1838" w:type="pct"/>
            <w:noWrap/>
          </w:tcPr>
          <w:p>
            <w:pPr>
              <w:pStyle w:val="152"/>
              <w:ind w:firstLine="0"/>
              <w:jc w:val="center"/>
              <w:rPr>
                <w:rFonts w:eastAsia="宋体" w:cs="Times New Roman"/>
                <w:sz w:val="21"/>
                <w:szCs w:val="21"/>
              </w:rPr>
            </w:pPr>
            <w:r>
              <w:rPr>
                <w:rFonts w:eastAsia="宋体" w:cs="Times New Roman"/>
                <w:sz w:val="21"/>
                <w:szCs w:val="21"/>
              </w:rPr>
              <w:t>河段类型</w:t>
            </w:r>
          </w:p>
        </w:tc>
        <w:tc>
          <w:tcPr>
            <w:tcW w:w="1864" w:type="pct"/>
            <w:noWrap/>
          </w:tcPr>
          <w:p>
            <w:pPr>
              <w:pStyle w:val="152"/>
              <w:ind w:firstLine="0"/>
              <w:jc w:val="center"/>
              <w:rPr>
                <w:rFonts w:eastAsia="宋体" w:cs="Times New Roman"/>
                <w:sz w:val="21"/>
                <w:szCs w:val="21"/>
              </w:rPr>
            </w:pPr>
            <w:r>
              <w:rPr>
                <w:rFonts w:eastAsia="宋体" w:cs="Times New Roman"/>
                <w:sz w:val="21"/>
                <w:szCs w:val="21"/>
              </w:rPr>
              <w:t>划界方法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1</w:t>
            </w:r>
          </w:p>
        </w:tc>
        <w:tc>
          <w:tcPr>
            <w:tcW w:w="876" w:type="pct"/>
            <w:noWrap/>
          </w:tcPr>
          <w:p>
            <w:pPr>
              <w:pStyle w:val="152"/>
              <w:ind w:firstLine="0"/>
              <w:jc w:val="center"/>
              <w:rPr>
                <w:rFonts w:eastAsia="宋体" w:cs="Times New Roman"/>
                <w:sz w:val="21"/>
                <w:szCs w:val="21"/>
              </w:rPr>
            </w:pPr>
            <w:r>
              <w:rPr>
                <w:rFonts w:eastAsia="宋体" w:cs="Times New Roman"/>
                <w:sz w:val="21"/>
                <w:szCs w:val="21"/>
              </w:rPr>
              <w:t>Y001至Y004</w:t>
            </w:r>
          </w:p>
        </w:tc>
        <w:tc>
          <w:tcPr>
            <w:tcW w:w="1838" w:type="pct"/>
            <w:noWrap/>
          </w:tcPr>
          <w:p>
            <w:pPr>
              <w:pStyle w:val="152"/>
              <w:ind w:firstLine="0"/>
              <w:jc w:val="center"/>
              <w:rPr>
                <w:rFonts w:eastAsia="宋体" w:cs="Times New Roman"/>
                <w:sz w:val="21"/>
                <w:szCs w:val="21"/>
              </w:rPr>
            </w:pPr>
            <w:r>
              <w:rPr>
                <w:rFonts w:eastAsia="宋体" w:cs="Times New Roman"/>
                <w:sz w:val="21"/>
                <w:szCs w:val="21"/>
              </w:rPr>
              <w:t>无堤平原段</w:t>
            </w:r>
          </w:p>
        </w:tc>
        <w:tc>
          <w:tcPr>
            <w:tcW w:w="1864" w:type="pct"/>
            <w:noWrap/>
          </w:tcPr>
          <w:p>
            <w:pPr>
              <w:pStyle w:val="152"/>
              <w:ind w:firstLine="0"/>
              <w:jc w:val="center"/>
              <w:rPr>
                <w:rFonts w:eastAsia="宋体" w:cs="Times New Roman"/>
                <w:sz w:val="21"/>
                <w:szCs w:val="21"/>
              </w:rPr>
            </w:pPr>
            <w:r>
              <w:rPr>
                <w:rFonts w:eastAsia="宋体" w:cs="Times New Roman"/>
                <w:sz w:val="21"/>
                <w:szCs w:val="21"/>
              </w:rPr>
              <w:t>按5年一遇水面线</w:t>
            </w:r>
            <w:r>
              <w:rPr>
                <w:rFonts w:hint="eastAsia" w:eastAsia="宋体" w:cs="Times New Roman"/>
                <w:sz w:val="21"/>
                <w:szCs w:val="21"/>
              </w:rPr>
              <w:t>外延5</w:t>
            </w:r>
            <w:r>
              <w:rPr>
                <w:rFonts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2</w:t>
            </w:r>
          </w:p>
        </w:tc>
        <w:tc>
          <w:tcPr>
            <w:tcW w:w="876" w:type="pct"/>
            <w:noWrap/>
          </w:tcPr>
          <w:p>
            <w:pPr>
              <w:pStyle w:val="152"/>
              <w:ind w:firstLine="0"/>
              <w:jc w:val="center"/>
              <w:rPr>
                <w:rFonts w:eastAsia="宋体" w:cs="Times New Roman"/>
                <w:sz w:val="21"/>
                <w:szCs w:val="21"/>
              </w:rPr>
            </w:pPr>
            <w:r>
              <w:rPr>
                <w:rFonts w:eastAsia="宋体" w:cs="Times New Roman"/>
                <w:sz w:val="21"/>
                <w:szCs w:val="21"/>
              </w:rPr>
              <w:t>Y005至Y008</w:t>
            </w:r>
          </w:p>
        </w:tc>
        <w:tc>
          <w:tcPr>
            <w:tcW w:w="1838" w:type="pct"/>
            <w:noWrap/>
            <w:vAlign w:val="center"/>
          </w:tcPr>
          <w:p>
            <w:pPr>
              <w:pStyle w:val="152"/>
              <w:ind w:firstLine="0"/>
              <w:jc w:val="center"/>
              <w:rPr>
                <w:rFonts w:eastAsia="宋体" w:cs="Times New Roman"/>
                <w:sz w:val="21"/>
                <w:szCs w:val="21"/>
              </w:rPr>
            </w:pPr>
            <w:r>
              <w:rPr>
                <w:rFonts w:eastAsia="宋体" w:cs="Times New Roman"/>
                <w:sz w:val="21"/>
                <w:szCs w:val="21"/>
              </w:rPr>
              <w:t>无堤平原段</w:t>
            </w:r>
          </w:p>
        </w:tc>
        <w:tc>
          <w:tcPr>
            <w:tcW w:w="1864" w:type="pct"/>
            <w:noWrap/>
            <w:vAlign w:val="center"/>
          </w:tcPr>
          <w:p>
            <w:pPr>
              <w:pStyle w:val="152"/>
              <w:ind w:firstLine="0"/>
              <w:jc w:val="center"/>
              <w:rPr>
                <w:rFonts w:eastAsia="宋体" w:cs="Times New Roman"/>
                <w:sz w:val="21"/>
                <w:szCs w:val="21"/>
              </w:rPr>
            </w:pPr>
            <w:r>
              <w:rPr>
                <w:rFonts w:hint="eastAsia" w:eastAsia="宋体" w:cs="Times New Roman"/>
                <w:sz w:val="21"/>
                <w:szCs w:val="21"/>
              </w:rPr>
              <w:t>以现状岸线外延10m标准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3</w:t>
            </w:r>
          </w:p>
        </w:tc>
        <w:tc>
          <w:tcPr>
            <w:tcW w:w="876" w:type="pct"/>
            <w:noWrap/>
          </w:tcPr>
          <w:p>
            <w:pPr>
              <w:pStyle w:val="152"/>
              <w:ind w:firstLine="0"/>
              <w:jc w:val="center"/>
              <w:rPr>
                <w:rFonts w:eastAsia="宋体" w:cs="Times New Roman"/>
                <w:sz w:val="21"/>
                <w:szCs w:val="21"/>
              </w:rPr>
            </w:pPr>
            <w:r>
              <w:rPr>
                <w:rFonts w:eastAsia="宋体" w:cs="Times New Roman"/>
                <w:sz w:val="21"/>
                <w:szCs w:val="21"/>
              </w:rPr>
              <w:t>Y009至Y018</w:t>
            </w:r>
          </w:p>
        </w:tc>
        <w:tc>
          <w:tcPr>
            <w:tcW w:w="1838" w:type="pct"/>
            <w:noWrap/>
          </w:tcPr>
          <w:p>
            <w:pPr>
              <w:pStyle w:val="152"/>
              <w:ind w:firstLine="0"/>
              <w:jc w:val="center"/>
              <w:rPr>
                <w:rFonts w:eastAsia="宋体" w:cs="Times New Roman"/>
                <w:sz w:val="21"/>
                <w:szCs w:val="21"/>
              </w:rPr>
            </w:pPr>
            <w:r>
              <w:rPr>
                <w:rFonts w:eastAsia="宋体" w:cs="Times New Roman"/>
                <w:sz w:val="21"/>
                <w:szCs w:val="21"/>
              </w:rPr>
              <w:t>无堤平原段</w:t>
            </w:r>
          </w:p>
        </w:tc>
        <w:tc>
          <w:tcPr>
            <w:tcW w:w="1864" w:type="pct"/>
            <w:noWrap/>
          </w:tcPr>
          <w:p>
            <w:pPr>
              <w:pStyle w:val="152"/>
              <w:ind w:firstLine="0"/>
              <w:jc w:val="center"/>
              <w:rPr>
                <w:rFonts w:eastAsia="宋体" w:cs="Times New Roman"/>
                <w:sz w:val="21"/>
                <w:szCs w:val="21"/>
              </w:rPr>
            </w:pPr>
            <w:r>
              <w:rPr>
                <w:rFonts w:eastAsia="宋体" w:cs="Times New Roman"/>
                <w:sz w:val="21"/>
                <w:szCs w:val="21"/>
              </w:rPr>
              <w:t>按5年一遇水面线</w:t>
            </w:r>
            <w:r>
              <w:rPr>
                <w:rFonts w:hint="eastAsia" w:eastAsia="宋体" w:cs="Times New Roman"/>
                <w:sz w:val="21"/>
                <w:szCs w:val="21"/>
              </w:rPr>
              <w:t>外延5</w:t>
            </w:r>
            <w:r>
              <w:rPr>
                <w:rFonts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4</w:t>
            </w:r>
          </w:p>
        </w:tc>
        <w:tc>
          <w:tcPr>
            <w:tcW w:w="876" w:type="pct"/>
            <w:noWrap/>
          </w:tcPr>
          <w:p>
            <w:pPr>
              <w:pStyle w:val="152"/>
              <w:ind w:firstLine="0"/>
              <w:jc w:val="center"/>
              <w:rPr>
                <w:rFonts w:eastAsia="宋体" w:cs="Times New Roman"/>
                <w:sz w:val="21"/>
                <w:szCs w:val="21"/>
              </w:rPr>
            </w:pPr>
            <w:r>
              <w:rPr>
                <w:rFonts w:eastAsia="宋体" w:cs="Times New Roman"/>
                <w:sz w:val="21"/>
                <w:szCs w:val="21"/>
              </w:rPr>
              <w:t>Y019至Y022</w:t>
            </w:r>
          </w:p>
        </w:tc>
        <w:tc>
          <w:tcPr>
            <w:tcW w:w="1838" w:type="pct"/>
            <w:noWrap/>
            <w:vAlign w:val="center"/>
          </w:tcPr>
          <w:p>
            <w:pPr>
              <w:pStyle w:val="152"/>
              <w:ind w:firstLine="0"/>
              <w:jc w:val="center"/>
              <w:rPr>
                <w:rFonts w:eastAsia="宋体" w:cs="Times New Roman"/>
                <w:sz w:val="21"/>
                <w:szCs w:val="21"/>
              </w:rPr>
            </w:pPr>
            <w:r>
              <w:rPr>
                <w:rFonts w:eastAsia="宋体" w:cs="Times New Roman"/>
                <w:sz w:val="21"/>
                <w:szCs w:val="21"/>
              </w:rPr>
              <w:t>有</w:t>
            </w:r>
            <w:r>
              <w:rPr>
                <w:rFonts w:hint="eastAsia" w:eastAsia="宋体" w:cs="Times New Roman"/>
                <w:sz w:val="21"/>
                <w:szCs w:val="21"/>
              </w:rPr>
              <w:t>护岸段</w:t>
            </w:r>
          </w:p>
        </w:tc>
        <w:tc>
          <w:tcPr>
            <w:tcW w:w="1864" w:type="pct"/>
            <w:noWrap/>
            <w:vAlign w:val="center"/>
          </w:tcPr>
          <w:p>
            <w:pPr>
              <w:pStyle w:val="152"/>
              <w:ind w:firstLine="0"/>
              <w:jc w:val="center"/>
              <w:rPr>
                <w:rFonts w:eastAsia="宋体" w:cs="Times New Roman"/>
                <w:sz w:val="21"/>
                <w:szCs w:val="21"/>
              </w:rPr>
            </w:pPr>
            <w:r>
              <w:rPr>
                <w:rFonts w:hint="eastAsia" w:eastAsia="宋体" w:cs="Times New Roman"/>
                <w:sz w:val="21"/>
                <w:szCs w:val="21"/>
              </w:rPr>
              <w:t>按护岸结构外边界线为起算线外延10m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hint="eastAsia" w:eastAsia="宋体" w:cs="Times New Roman"/>
                <w:sz w:val="21"/>
                <w:szCs w:val="21"/>
              </w:rPr>
              <w:t>5</w:t>
            </w:r>
          </w:p>
        </w:tc>
        <w:tc>
          <w:tcPr>
            <w:tcW w:w="876" w:type="pct"/>
            <w:noWrap/>
          </w:tcPr>
          <w:p>
            <w:pPr>
              <w:pStyle w:val="152"/>
              <w:ind w:firstLine="0"/>
              <w:jc w:val="center"/>
              <w:rPr>
                <w:rFonts w:eastAsia="宋体" w:cs="Times New Roman"/>
                <w:sz w:val="21"/>
                <w:szCs w:val="21"/>
              </w:rPr>
            </w:pPr>
            <w:r>
              <w:rPr>
                <w:rFonts w:eastAsia="宋体" w:cs="Times New Roman"/>
                <w:sz w:val="21"/>
                <w:szCs w:val="21"/>
              </w:rPr>
              <w:t>Y023至Y024</w:t>
            </w:r>
          </w:p>
        </w:tc>
        <w:tc>
          <w:tcPr>
            <w:tcW w:w="1838" w:type="pct"/>
            <w:noWrap/>
            <w:vAlign w:val="center"/>
          </w:tcPr>
          <w:p>
            <w:pPr>
              <w:pStyle w:val="152"/>
              <w:ind w:firstLine="0"/>
              <w:jc w:val="center"/>
              <w:rPr>
                <w:rFonts w:eastAsia="宋体" w:cs="Times New Roman"/>
                <w:sz w:val="21"/>
                <w:szCs w:val="21"/>
              </w:rPr>
            </w:pPr>
            <w:r>
              <w:rPr>
                <w:rFonts w:eastAsia="宋体" w:cs="Times New Roman"/>
                <w:sz w:val="21"/>
                <w:szCs w:val="21"/>
              </w:rPr>
              <w:t>无堤平原段</w:t>
            </w:r>
          </w:p>
        </w:tc>
        <w:tc>
          <w:tcPr>
            <w:tcW w:w="1864" w:type="pct"/>
            <w:noWrap/>
            <w:vAlign w:val="center"/>
          </w:tcPr>
          <w:p>
            <w:pPr>
              <w:pStyle w:val="152"/>
              <w:ind w:firstLine="0"/>
              <w:jc w:val="center"/>
              <w:rPr>
                <w:rFonts w:eastAsia="宋体" w:cs="Times New Roman"/>
                <w:sz w:val="21"/>
                <w:szCs w:val="21"/>
              </w:rPr>
            </w:pPr>
            <w:r>
              <w:rPr>
                <w:rFonts w:hint="eastAsia" w:eastAsia="宋体" w:cs="Times New Roman"/>
                <w:sz w:val="21"/>
                <w:szCs w:val="21"/>
              </w:rPr>
              <w:t>以现状岸线外延10m标准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hint="eastAsia" w:eastAsia="宋体" w:cs="Times New Roman"/>
                <w:sz w:val="21"/>
                <w:szCs w:val="21"/>
              </w:rPr>
              <w:t>6</w:t>
            </w:r>
          </w:p>
        </w:tc>
        <w:tc>
          <w:tcPr>
            <w:tcW w:w="876" w:type="pct"/>
            <w:noWrap/>
          </w:tcPr>
          <w:p>
            <w:pPr>
              <w:pStyle w:val="152"/>
              <w:ind w:firstLine="0"/>
              <w:jc w:val="center"/>
              <w:rPr>
                <w:rFonts w:eastAsia="宋体" w:cs="Times New Roman"/>
                <w:sz w:val="21"/>
                <w:szCs w:val="21"/>
              </w:rPr>
            </w:pPr>
            <w:r>
              <w:rPr>
                <w:rFonts w:eastAsia="宋体" w:cs="Times New Roman"/>
                <w:sz w:val="21"/>
                <w:szCs w:val="21"/>
              </w:rPr>
              <w:t>Y025至Y032</w:t>
            </w:r>
          </w:p>
        </w:tc>
        <w:tc>
          <w:tcPr>
            <w:tcW w:w="1838" w:type="pct"/>
            <w:noWrap/>
            <w:vAlign w:val="center"/>
          </w:tcPr>
          <w:p>
            <w:pPr>
              <w:pStyle w:val="152"/>
              <w:ind w:firstLine="0"/>
              <w:jc w:val="center"/>
              <w:rPr>
                <w:rFonts w:eastAsia="宋体" w:cs="Times New Roman"/>
                <w:sz w:val="21"/>
                <w:szCs w:val="21"/>
              </w:rPr>
            </w:pPr>
            <w:r>
              <w:rPr>
                <w:rFonts w:eastAsia="宋体" w:cs="Times New Roman"/>
                <w:sz w:val="21"/>
                <w:szCs w:val="21"/>
              </w:rPr>
              <w:t>有</w:t>
            </w:r>
            <w:r>
              <w:rPr>
                <w:rFonts w:hint="eastAsia" w:eastAsia="宋体" w:cs="Times New Roman"/>
                <w:sz w:val="21"/>
                <w:szCs w:val="21"/>
              </w:rPr>
              <w:t>护岸段</w:t>
            </w:r>
          </w:p>
        </w:tc>
        <w:tc>
          <w:tcPr>
            <w:tcW w:w="1864" w:type="pct"/>
            <w:noWrap/>
            <w:vAlign w:val="center"/>
          </w:tcPr>
          <w:p>
            <w:pPr>
              <w:pStyle w:val="152"/>
              <w:ind w:firstLine="0"/>
              <w:jc w:val="center"/>
              <w:rPr>
                <w:rFonts w:eastAsia="宋体" w:cs="Times New Roman"/>
                <w:sz w:val="21"/>
                <w:szCs w:val="21"/>
              </w:rPr>
            </w:pPr>
            <w:r>
              <w:rPr>
                <w:rFonts w:hint="eastAsia" w:eastAsia="宋体" w:cs="Times New Roman"/>
                <w:sz w:val="21"/>
                <w:szCs w:val="21"/>
              </w:rPr>
              <w:t>按护岸结构外边界线为起算线外延10m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hint="eastAsia" w:eastAsia="宋体" w:cs="Times New Roman"/>
                <w:sz w:val="21"/>
                <w:szCs w:val="21"/>
              </w:rPr>
              <w:t>7</w:t>
            </w:r>
          </w:p>
        </w:tc>
        <w:tc>
          <w:tcPr>
            <w:tcW w:w="876" w:type="pct"/>
            <w:noWrap/>
          </w:tcPr>
          <w:p>
            <w:pPr>
              <w:pStyle w:val="152"/>
              <w:ind w:firstLine="0"/>
              <w:jc w:val="center"/>
              <w:rPr>
                <w:rFonts w:eastAsia="宋体" w:cs="Times New Roman"/>
                <w:sz w:val="21"/>
                <w:szCs w:val="21"/>
              </w:rPr>
            </w:pPr>
            <w:r>
              <w:rPr>
                <w:rFonts w:eastAsia="宋体" w:cs="Times New Roman"/>
                <w:sz w:val="21"/>
                <w:szCs w:val="21"/>
              </w:rPr>
              <w:t>Y033至Y034</w:t>
            </w:r>
          </w:p>
        </w:tc>
        <w:tc>
          <w:tcPr>
            <w:tcW w:w="1838" w:type="pct"/>
            <w:noWrap/>
          </w:tcPr>
          <w:p>
            <w:pPr>
              <w:pStyle w:val="152"/>
              <w:ind w:firstLine="0"/>
              <w:jc w:val="center"/>
              <w:rPr>
                <w:rFonts w:eastAsia="宋体" w:cs="Times New Roman"/>
                <w:sz w:val="21"/>
                <w:szCs w:val="21"/>
              </w:rPr>
            </w:pPr>
            <w:r>
              <w:rPr>
                <w:rFonts w:eastAsia="宋体" w:cs="Times New Roman"/>
                <w:sz w:val="21"/>
                <w:szCs w:val="21"/>
              </w:rPr>
              <w:t>无堤平原段</w:t>
            </w:r>
          </w:p>
        </w:tc>
        <w:tc>
          <w:tcPr>
            <w:tcW w:w="1864" w:type="pct"/>
            <w:noWrap/>
          </w:tcPr>
          <w:p>
            <w:pPr>
              <w:pStyle w:val="152"/>
              <w:ind w:firstLine="0"/>
              <w:jc w:val="center"/>
              <w:rPr>
                <w:rFonts w:eastAsia="宋体" w:cs="Times New Roman"/>
                <w:sz w:val="21"/>
                <w:szCs w:val="21"/>
              </w:rPr>
            </w:pPr>
            <w:r>
              <w:rPr>
                <w:rFonts w:eastAsia="宋体" w:cs="Times New Roman"/>
                <w:sz w:val="21"/>
                <w:szCs w:val="21"/>
              </w:rPr>
              <w:t>按5年一遇水面线</w:t>
            </w:r>
            <w:r>
              <w:rPr>
                <w:rFonts w:hint="eastAsia" w:eastAsia="宋体" w:cs="Times New Roman"/>
                <w:sz w:val="21"/>
                <w:szCs w:val="21"/>
              </w:rPr>
              <w:t>外延5</w:t>
            </w:r>
            <w:r>
              <w:rPr>
                <w:rFonts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5000" w:type="pct"/>
            <w:gridSpan w:val="4"/>
            <w:noWrap/>
          </w:tcPr>
          <w:p>
            <w:pPr>
              <w:pStyle w:val="152"/>
              <w:ind w:firstLine="0"/>
              <w:jc w:val="center"/>
              <w:rPr>
                <w:rFonts w:eastAsia="宋体" w:cs="Times New Roman"/>
                <w:sz w:val="21"/>
                <w:szCs w:val="21"/>
                <w:highlight w:val="yellow"/>
              </w:rPr>
            </w:pPr>
            <w:r>
              <w:rPr>
                <w:rFonts w:hint="eastAsia" w:eastAsia="宋体" w:cs="Times New Roman"/>
                <w:sz w:val="21"/>
                <w:szCs w:val="21"/>
              </w:rPr>
              <w:t>鳌江（港仔溪）左岸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1</w:t>
            </w:r>
          </w:p>
        </w:tc>
        <w:tc>
          <w:tcPr>
            <w:tcW w:w="876" w:type="pct"/>
            <w:noWrap/>
          </w:tcPr>
          <w:p>
            <w:pPr>
              <w:pStyle w:val="152"/>
              <w:ind w:firstLine="0"/>
              <w:jc w:val="center"/>
              <w:rPr>
                <w:rFonts w:eastAsia="宋体" w:cs="Times New Roman"/>
                <w:sz w:val="21"/>
                <w:szCs w:val="21"/>
              </w:rPr>
            </w:pPr>
            <w:r>
              <w:rPr>
                <w:rFonts w:eastAsia="宋体" w:cs="Times New Roman"/>
                <w:sz w:val="21"/>
                <w:szCs w:val="21"/>
              </w:rPr>
              <w:t>Z001至Z002</w:t>
            </w:r>
          </w:p>
        </w:tc>
        <w:tc>
          <w:tcPr>
            <w:tcW w:w="1838" w:type="pct"/>
            <w:noWrap/>
            <w:vAlign w:val="center"/>
          </w:tcPr>
          <w:p>
            <w:pPr>
              <w:pStyle w:val="152"/>
              <w:ind w:firstLine="0"/>
              <w:jc w:val="center"/>
              <w:rPr>
                <w:rFonts w:eastAsia="宋体" w:cs="Times New Roman"/>
                <w:sz w:val="21"/>
                <w:szCs w:val="21"/>
                <w:highlight w:val="yellow"/>
              </w:rPr>
            </w:pPr>
            <w:r>
              <w:rPr>
                <w:rFonts w:eastAsia="宋体" w:cs="Times New Roman"/>
                <w:sz w:val="21"/>
                <w:szCs w:val="21"/>
              </w:rPr>
              <w:t>无堤平原段</w:t>
            </w:r>
          </w:p>
        </w:tc>
        <w:tc>
          <w:tcPr>
            <w:tcW w:w="1864" w:type="pct"/>
            <w:noWrap/>
            <w:vAlign w:val="center"/>
          </w:tcPr>
          <w:p>
            <w:pPr>
              <w:pStyle w:val="152"/>
              <w:ind w:firstLine="0"/>
              <w:jc w:val="center"/>
              <w:rPr>
                <w:rFonts w:eastAsia="宋体" w:cs="Times New Roman"/>
                <w:sz w:val="21"/>
                <w:szCs w:val="21"/>
                <w:highlight w:val="yellow"/>
              </w:rPr>
            </w:pPr>
            <w:r>
              <w:rPr>
                <w:rFonts w:hint="eastAsia" w:eastAsia="宋体" w:cs="Times New Roman"/>
                <w:sz w:val="21"/>
                <w:szCs w:val="21"/>
              </w:rPr>
              <w:t>以现状岸线外延10m标准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2</w:t>
            </w:r>
          </w:p>
        </w:tc>
        <w:tc>
          <w:tcPr>
            <w:tcW w:w="876" w:type="pct"/>
            <w:noWrap/>
          </w:tcPr>
          <w:p>
            <w:pPr>
              <w:pStyle w:val="152"/>
              <w:ind w:firstLine="0"/>
              <w:jc w:val="center"/>
              <w:rPr>
                <w:rFonts w:eastAsia="宋体" w:cs="Times New Roman"/>
                <w:sz w:val="21"/>
                <w:szCs w:val="21"/>
              </w:rPr>
            </w:pPr>
            <w:r>
              <w:rPr>
                <w:rFonts w:eastAsia="宋体" w:cs="Times New Roman"/>
                <w:sz w:val="21"/>
                <w:szCs w:val="21"/>
              </w:rPr>
              <w:t>Z003至Z005</w:t>
            </w:r>
          </w:p>
        </w:tc>
        <w:tc>
          <w:tcPr>
            <w:tcW w:w="1838" w:type="pct"/>
            <w:noWrap/>
          </w:tcPr>
          <w:p>
            <w:pPr>
              <w:pStyle w:val="152"/>
              <w:ind w:firstLine="0"/>
              <w:jc w:val="center"/>
              <w:rPr>
                <w:rFonts w:eastAsia="宋体" w:cs="Times New Roman"/>
                <w:sz w:val="21"/>
                <w:szCs w:val="21"/>
                <w:highlight w:val="yellow"/>
              </w:rPr>
            </w:pPr>
            <w:r>
              <w:rPr>
                <w:rFonts w:eastAsia="宋体" w:cs="Times New Roman"/>
                <w:sz w:val="21"/>
                <w:szCs w:val="21"/>
              </w:rPr>
              <w:t>无堤平原段</w:t>
            </w:r>
          </w:p>
        </w:tc>
        <w:tc>
          <w:tcPr>
            <w:tcW w:w="1864" w:type="pct"/>
            <w:noWrap/>
          </w:tcPr>
          <w:p>
            <w:pPr>
              <w:pStyle w:val="152"/>
              <w:ind w:firstLine="0"/>
              <w:jc w:val="center"/>
              <w:rPr>
                <w:rFonts w:eastAsia="宋体" w:cs="Times New Roman"/>
                <w:sz w:val="21"/>
                <w:szCs w:val="21"/>
                <w:highlight w:val="yellow"/>
              </w:rPr>
            </w:pPr>
            <w:r>
              <w:rPr>
                <w:rFonts w:eastAsia="宋体" w:cs="Times New Roman"/>
                <w:sz w:val="21"/>
                <w:szCs w:val="21"/>
              </w:rPr>
              <w:t>按5年一遇水面线</w:t>
            </w:r>
            <w:r>
              <w:rPr>
                <w:rFonts w:hint="eastAsia" w:eastAsia="宋体" w:cs="Times New Roman"/>
                <w:sz w:val="21"/>
                <w:szCs w:val="21"/>
              </w:rPr>
              <w:t>外延5</w:t>
            </w:r>
            <w:r>
              <w:rPr>
                <w:rFonts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3</w:t>
            </w:r>
          </w:p>
        </w:tc>
        <w:tc>
          <w:tcPr>
            <w:tcW w:w="876" w:type="pct"/>
            <w:noWrap/>
          </w:tcPr>
          <w:p>
            <w:pPr>
              <w:pStyle w:val="152"/>
              <w:ind w:firstLine="0"/>
              <w:jc w:val="center"/>
              <w:rPr>
                <w:rFonts w:eastAsia="宋体" w:cs="Times New Roman"/>
                <w:sz w:val="21"/>
                <w:szCs w:val="21"/>
              </w:rPr>
            </w:pPr>
            <w:r>
              <w:rPr>
                <w:rFonts w:eastAsia="宋体" w:cs="Times New Roman"/>
                <w:sz w:val="21"/>
                <w:szCs w:val="21"/>
              </w:rPr>
              <w:t>Z006至Z011</w:t>
            </w:r>
          </w:p>
        </w:tc>
        <w:tc>
          <w:tcPr>
            <w:tcW w:w="1838" w:type="pct"/>
            <w:noWrap/>
            <w:vAlign w:val="center"/>
          </w:tcPr>
          <w:p>
            <w:pPr>
              <w:pStyle w:val="152"/>
              <w:ind w:firstLine="0"/>
              <w:jc w:val="center"/>
              <w:rPr>
                <w:rFonts w:eastAsia="宋体" w:cs="Times New Roman"/>
                <w:sz w:val="21"/>
                <w:szCs w:val="21"/>
                <w:highlight w:val="yellow"/>
              </w:rPr>
            </w:pPr>
            <w:r>
              <w:rPr>
                <w:rFonts w:eastAsia="宋体" w:cs="Times New Roman"/>
                <w:sz w:val="21"/>
                <w:szCs w:val="21"/>
              </w:rPr>
              <w:t>无堤平原段</w:t>
            </w:r>
          </w:p>
        </w:tc>
        <w:tc>
          <w:tcPr>
            <w:tcW w:w="1864" w:type="pct"/>
            <w:noWrap/>
            <w:vAlign w:val="center"/>
          </w:tcPr>
          <w:p>
            <w:pPr>
              <w:pStyle w:val="152"/>
              <w:ind w:firstLine="0"/>
              <w:jc w:val="center"/>
              <w:rPr>
                <w:rFonts w:eastAsia="宋体" w:cs="Times New Roman"/>
                <w:sz w:val="21"/>
                <w:szCs w:val="21"/>
                <w:highlight w:val="yellow"/>
              </w:rPr>
            </w:pPr>
            <w:r>
              <w:rPr>
                <w:rFonts w:hint="eastAsia" w:eastAsia="宋体" w:cs="Times New Roman"/>
                <w:sz w:val="21"/>
                <w:szCs w:val="21"/>
              </w:rPr>
              <w:t>以现状岸线外延10m标准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4</w:t>
            </w:r>
          </w:p>
        </w:tc>
        <w:tc>
          <w:tcPr>
            <w:tcW w:w="876" w:type="pct"/>
            <w:noWrap/>
          </w:tcPr>
          <w:p>
            <w:pPr>
              <w:pStyle w:val="152"/>
              <w:ind w:firstLine="0"/>
              <w:jc w:val="center"/>
              <w:rPr>
                <w:rFonts w:eastAsia="宋体" w:cs="Times New Roman"/>
                <w:sz w:val="21"/>
                <w:szCs w:val="21"/>
              </w:rPr>
            </w:pPr>
            <w:r>
              <w:rPr>
                <w:rFonts w:eastAsia="宋体" w:cs="Times New Roman"/>
                <w:sz w:val="21"/>
                <w:szCs w:val="21"/>
              </w:rPr>
              <w:t>Z012至Z017</w:t>
            </w:r>
          </w:p>
        </w:tc>
        <w:tc>
          <w:tcPr>
            <w:tcW w:w="1838" w:type="pct"/>
            <w:noWrap/>
          </w:tcPr>
          <w:p>
            <w:pPr>
              <w:pStyle w:val="152"/>
              <w:ind w:firstLine="0"/>
              <w:jc w:val="center"/>
              <w:rPr>
                <w:rFonts w:eastAsia="宋体" w:cs="Times New Roman"/>
                <w:sz w:val="21"/>
                <w:szCs w:val="21"/>
                <w:highlight w:val="yellow"/>
              </w:rPr>
            </w:pPr>
            <w:r>
              <w:rPr>
                <w:rFonts w:eastAsia="宋体" w:cs="Times New Roman"/>
                <w:sz w:val="21"/>
                <w:szCs w:val="21"/>
              </w:rPr>
              <w:t>无堤平原段</w:t>
            </w:r>
          </w:p>
        </w:tc>
        <w:tc>
          <w:tcPr>
            <w:tcW w:w="1864" w:type="pct"/>
            <w:noWrap/>
          </w:tcPr>
          <w:p>
            <w:pPr>
              <w:pStyle w:val="152"/>
              <w:ind w:firstLine="0"/>
              <w:jc w:val="center"/>
              <w:rPr>
                <w:rFonts w:eastAsia="宋体" w:cs="Times New Roman"/>
                <w:sz w:val="21"/>
                <w:szCs w:val="21"/>
                <w:highlight w:val="yellow"/>
              </w:rPr>
            </w:pPr>
            <w:r>
              <w:rPr>
                <w:rFonts w:eastAsia="宋体" w:cs="Times New Roman"/>
                <w:sz w:val="21"/>
                <w:szCs w:val="21"/>
              </w:rPr>
              <w:t>按5年一遇水面线</w:t>
            </w:r>
            <w:r>
              <w:rPr>
                <w:rFonts w:hint="eastAsia" w:eastAsia="宋体" w:cs="Times New Roman"/>
                <w:sz w:val="21"/>
                <w:szCs w:val="21"/>
              </w:rPr>
              <w:t>外延5</w:t>
            </w:r>
            <w:r>
              <w:rPr>
                <w:rFonts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5</w:t>
            </w:r>
          </w:p>
        </w:tc>
        <w:tc>
          <w:tcPr>
            <w:tcW w:w="876" w:type="pct"/>
            <w:noWrap/>
          </w:tcPr>
          <w:p>
            <w:pPr>
              <w:pStyle w:val="152"/>
              <w:ind w:firstLine="0"/>
              <w:jc w:val="center"/>
              <w:rPr>
                <w:rFonts w:eastAsia="宋体" w:cs="Times New Roman"/>
                <w:sz w:val="21"/>
                <w:szCs w:val="21"/>
              </w:rPr>
            </w:pPr>
            <w:r>
              <w:rPr>
                <w:rFonts w:eastAsia="宋体" w:cs="Times New Roman"/>
                <w:sz w:val="21"/>
                <w:szCs w:val="21"/>
              </w:rPr>
              <w:t>Z018至Z020</w:t>
            </w:r>
          </w:p>
        </w:tc>
        <w:tc>
          <w:tcPr>
            <w:tcW w:w="1838" w:type="pct"/>
            <w:noWrap/>
            <w:vAlign w:val="center"/>
          </w:tcPr>
          <w:p>
            <w:pPr>
              <w:pStyle w:val="152"/>
              <w:ind w:firstLine="0"/>
              <w:jc w:val="center"/>
              <w:rPr>
                <w:rFonts w:eastAsia="宋体" w:cs="Times New Roman"/>
                <w:sz w:val="21"/>
                <w:szCs w:val="21"/>
                <w:highlight w:val="yellow"/>
              </w:rPr>
            </w:pPr>
            <w:r>
              <w:rPr>
                <w:rFonts w:eastAsia="宋体" w:cs="Times New Roman"/>
                <w:sz w:val="21"/>
                <w:szCs w:val="21"/>
              </w:rPr>
              <w:t>无堤平原段</w:t>
            </w:r>
          </w:p>
        </w:tc>
        <w:tc>
          <w:tcPr>
            <w:tcW w:w="1864" w:type="pct"/>
            <w:noWrap/>
            <w:vAlign w:val="center"/>
          </w:tcPr>
          <w:p>
            <w:pPr>
              <w:pStyle w:val="152"/>
              <w:ind w:firstLine="0"/>
              <w:jc w:val="center"/>
              <w:rPr>
                <w:rFonts w:eastAsia="宋体" w:cs="Times New Roman"/>
                <w:sz w:val="21"/>
                <w:szCs w:val="21"/>
                <w:highlight w:val="yellow"/>
              </w:rPr>
            </w:pPr>
            <w:r>
              <w:rPr>
                <w:rFonts w:hint="eastAsia" w:eastAsia="宋体" w:cs="Times New Roman"/>
                <w:sz w:val="21"/>
                <w:szCs w:val="21"/>
              </w:rPr>
              <w:t>以现状岸线外延10m标准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tcBorders>
              <w:bottom w:val="single" w:color="auto" w:sz="4" w:space="0"/>
            </w:tcBorders>
            <w:noWrap/>
          </w:tcPr>
          <w:p>
            <w:pPr>
              <w:pStyle w:val="152"/>
              <w:ind w:firstLine="0"/>
              <w:jc w:val="center"/>
              <w:rPr>
                <w:rFonts w:eastAsia="宋体" w:cs="Times New Roman"/>
                <w:sz w:val="21"/>
                <w:szCs w:val="21"/>
              </w:rPr>
            </w:pPr>
            <w:r>
              <w:rPr>
                <w:rFonts w:eastAsia="宋体" w:cs="Times New Roman"/>
                <w:sz w:val="21"/>
                <w:szCs w:val="21"/>
              </w:rPr>
              <w:t>6</w:t>
            </w:r>
          </w:p>
        </w:tc>
        <w:tc>
          <w:tcPr>
            <w:tcW w:w="876" w:type="pct"/>
            <w:tcBorders>
              <w:bottom w:val="single" w:color="auto" w:sz="4" w:space="0"/>
            </w:tcBorders>
            <w:noWrap/>
          </w:tcPr>
          <w:p>
            <w:pPr>
              <w:pStyle w:val="152"/>
              <w:ind w:firstLine="0"/>
              <w:jc w:val="center"/>
              <w:rPr>
                <w:rFonts w:eastAsia="宋体" w:cs="Times New Roman"/>
                <w:sz w:val="21"/>
                <w:szCs w:val="21"/>
              </w:rPr>
            </w:pPr>
            <w:r>
              <w:rPr>
                <w:rFonts w:eastAsia="宋体" w:cs="Times New Roman"/>
                <w:sz w:val="21"/>
                <w:szCs w:val="21"/>
              </w:rPr>
              <w:t>Z021至Z025</w:t>
            </w:r>
          </w:p>
        </w:tc>
        <w:tc>
          <w:tcPr>
            <w:tcW w:w="1838" w:type="pct"/>
            <w:tcBorders>
              <w:bottom w:val="single" w:color="auto" w:sz="4" w:space="0"/>
            </w:tcBorders>
            <w:noWrap/>
            <w:vAlign w:val="center"/>
          </w:tcPr>
          <w:p>
            <w:pPr>
              <w:pStyle w:val="152"/>
              <w:ind w:firstLine="0"/>
              <w:jc w:val="center"/>
              <w:rPr>
                <w:rFonts w:eastAsia="宋体" w:cs="Times New Roman"/>
                <w:sz w:val="21"/>
                <w:szCs w:val="21"/>
                <w:highlight w:val="yellow"/>
              </w:rPr>
            </w:pPr>
            <w:r>
              <w:rPr>
                <w:rFonts w:eastAsia="宋体" w:cs="Times New Roman"/>
                <w:sz w:val="21"/>
                <w:szCs w:val="21"/>
              </w:rPr>
              <w:t>有</w:t>
            </w:r>
            <w:r>
              <w:rPr>
                <w:rFonts w:hint="eastAsia" w:eastAsia="宋体" w:cs="Times New Roman"/>
                <w:sz w:val="21"/>
                <w:szCs w:val="21"/>
              </w:rPr>
              <w:t>护岸段</w:t>
            </w:r>
          </w:p>
        </w:tc>
        <w:tc>
          <w:tcPr>
            <w:tcW w:w="1864" w:type="pct"/>
            <w:tcBorders>
              <w:bottom w:val="single" w:color="auto" w:sz="4" w:space="0"/>
            </w:tcBorders>
            <w:noWrap/>
            <w:vAlign w:val="center"/>
          </w:tcPr>
          <w:p>
            <w:pPr>
              <w:pStyle w:val="152"/>
              <w:ind w:firstLine="0"/>
              <w:jc w:val="center"/>
              <w:rPr>
                <w:rFonts w:eastAsia="宋体" w:cs="Times New Roman"/>
                <w:sz w:val="21"/>
                <w:szCs w:val="21"/>
                <w:highlight w:val="yellow"/>
              </w:rPr>
            </w:pPr>
            <w:r>
              <w:rPr>
                <w:rFonts w:hint="eastAsia" w:eastAsia="宋体" w:cs="Times New Roman"/>
                <w:sz w:val="21"/>
                <w:szCs w:val="21"/>
              </w:rPr>
              <w:t>按护岸结构外边界线为起算线外延10m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eastAsia="宋体" w:cs="Times New Roman"/>
                <w:sz w:val="21"/>
                <w:szCs w:val="21"/>
              </w:rPr>
              <w:t>7</w:t>
            </w:r>
          </w:p>
        </w:tc>
        <w:tc>
          <w:tcPr>
            <w:tcW w:w="876" w:type="pct"/>
            <w:noWrap/>
          </w:tcPr>
          <w:p>
            <w:pPr>
              <w:pStyle w:val="152"/>
              <w:ind w:firstLine="0"/>
              <w:jc w:val="center"/>
              <w:rPr>
                <w:rFonts w:eastAsia="宋体" w:cs="Times New Roman"/>
                <w:sz w:val="21"/>
                <w:szCs w:val="21"/>
              </w:rPr>
            </w:pPr>
            <w:r>
              <w:rPr>
                <w:rFonts w:eastAsia="宋体" w:cs="Times New Roman"/>
                <w:sz w:val="21"/>
                <w:szCs w:val="21"/>
              </w:rPr>
              <w:t>Z026至Z033</w:t>
            </w:r>
          </w:p>
        </w:tc>
        <w:tc>
          <w:tcPr>
            <w:tcW w:w="1838" w:type="pct"/>
            <w:noWrap/>
            <w:vAlign w:val="center"/>
          </w:tcPr>
          <w:p>
            <w:pPr>
              <w:pStyle w:val="152"/>
              <w:ind w:firstLine="0"/>
              <w:jc w:val="center"/>
              <w:rPr>
                <w:rFonts w:eastAsia="宋体" w:cs="Times New Roman"/>
                <w:sz w:val="21"/>
                <w:szCs w:val="21"/>
                <w:highlight w:val="yellow"/>
              </w:rPr>
            </w:pPr>
            <w:r>
              <w:rPr>
                <w:rFonts w:eastAsia="宋体" w:cs="Times New Roman"/>
                <w:sz w:val="21"/>
                <w:szCs w:val="21"/>
              </w:rPr>
              <w:t>无堤平原段</w:t>
            </w:r>
          </w:p>
        </w:tc>
        <w:tc>
          <w:tcPr>
            <w:tcW w:w="1864" w:type="pct"/>
            <w:noWrap/>
            <w:vAlign w:val="center"/>
          </w:tcPr>
          <w:p>
            <w:pPr>
              <w:pStyle w:val="152"/>
              <w:ind w:firstLine="0"/>
              <w:jc w:val="center"/>
              <w:rPr>
                <w:rFonts w:eastAsia="宋体" w:cs="Times New Roman"/>
                <w:sz w:val="21"/>
                <w:szCs w:val="21"/>
              </w:rPr>
            </w:pPr>
            <w:r>
              <w:rPr>
                <w:rFonts w:hint="eastAsia" w:eastAsia="宋体" w:cs="Times New Roman"/>
                <w:sz w:val="21"/>
                <w:szCs w:val="21"/>
              </w:rPr>
              <w:t>以现状岸线外延10m标准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22" w:type="pct"/>
            <w:noWrap/>
          </w:tcPr>
          <w:p>
            <w:pPr>
              <w:pStyle w:val="152"/>
              <w:ind w:firstLine="0"/>
              <w:jc w:val="center"/>
              <w:rPr>
                <w:rFonts w:eastAsia="宋体" w:cs="Times New Roman"/>
                <w:sz w:val="21"/>
                <w:szCs w:val="21"/>
              </w:rPr>
            </w:pPr>
            <w:r>
              <w:rPr>
                <w:rFonts w:hint="eastAsia" w:eastAsia="宋体" w:cs="Times New Roman"/>
                <w:sz w:val="21"/>
                <w:szCs w:val="21"/>
              </w:rPr>
              <w:t>8</w:t>
            </w:r>
          </w:p>
        </w:tc>
        <w:tc>
          <w:tcPr>
            <w:tcW w:w="876" w:type="pct"/>
            <w:noWrap/>
          </w:tcPr>
          <w:p>
            <w:pPr>
              <w:pStyle w:val="152"/>
              <w:ind w:firstLine="0"/>
              <w:jc w:val="center"/>
              <w:rPr>
                <w:rFonts w:eastAsia="宋体" w:cs="Times New Roman"/>
                <w:sz w:val="21"/>
                <w:szCs w:val="21"/>
              </w:rPr>
            </w:pPr>
            <w:r>
              <w:rPr>
                <w:rFonts w:eastAsia="宋体" w:cs="Times New Roman"/>
                <w:sz w:val="21"/>
                <w:szCs w:val="21"/>
              </w:rPr>
              <w:t>Z034至Z036</w:t>
            </w:r>
          </w:p>
        </w:tc>
        <w:tc>
          <w:tcPr>
            <w:tcW w:w="1838" w:type="pct"/>
            <w:noWrap/>
          </w:tcPr>
          <w:p>
            <w:pPr>
              <w:pStyle w:val="152"/>
              <w:ind w:firstLine="0"/>
              <w:jc w:val="center"/>
              <w:rPr>
                <w:rFonts w:eastAsia="宋体" w:cs="Times New Roman"/>
                <w:sz w:val="21"/>
                <w:szCs w:val="21"/>
                <w:highlight w:val="yellow"/>
              </w:rPr>
            </w:pPr>
            <w:r>
              <w:rPr>
                <w:rFonts w:eastAsia="宋体" w:cs="Times New Roman"/>
                <w:sz w:val="21"/>
                <w:szCs w:val="21"/>
              </w:rPr>
              <w:t>无堤平原段</w:t>
            </w:r>
          </w:p>
        </w:tc>
        <w:tc>
          <w:tcPr>
            <w:tcW w:w="1864" w:type="pct"/>
            <w:noWrap/>
          </w:tcPr>
          <w:p>
            <w:pPr>
              <w:pStyle w:val="152"/>
              <w:ind w:firstLine="0"/>
              <w:jc w:val="center"/>
              <w:rPr>
                <w:rFonts w:eastAsia="宋体" w:cs="Times New Roman"/>
                <w:sz w:val="21"/>
                <w:szCs w:val="21"/>
                <w:highlight w:val="yellow"/>
              </w:rPr>
            </w:pPr>
            <w:r>
              <w:rPr>
                <w:rFonts w:eastAsia="宋体" w:cs="Times New Roman"/>
                <w:sz w:val="21"/>
                <w:szCs w:val="21"/>
              </w:rPr>
              <w:t>按5年一遇水面线</w:t>
            </w:r>
            <w:r>
              <w:rPr>
                <w:rFonts w:hint="eastAsia" w:eastAsia="宋体" w:cs="Times New Roman"/>
                <w:sz w:val="21"/>
                <w:szCs w:val="21"/>
              </w:rPr>
              <w:t>外延5</w:t>
            </w:r>
            <w:r>
              <w:rPr>
                <w:rFonts w:eastAsia="宋体" w:cs="Times New Roman"/>
                <w:sz w:val="21"/>
                <w:szCs w:val="21"/>
              </w:rPr>
              <w:t>m</w:t>
            </w:r>
          </w:p>
        </w:tc>
      </w:tr>
    </w:tbl>
    <w:p>
      <w:pPr>
        <w:keepNext/>
        <w:keepLines/>
        <w:spacing w:before="156" w:beforeLines="50"/>
        <w:ind w:firstLine="0" w:firstLineChars="0"/>
        <w:jc w:val="left"/>
        <w:textAlignment w:val="baseline"/>
        <w:outlineLvl w:val="1"/>
        <w:rPr>
          <w:rFonts w:cs="Times New Roman"/>
          <w:b/>
          <w:szCs w:val="28"/>
        </w:rPr>
      </w:pPr>
      <w:bookmarkStart w:id="55" w:name="_Toc56103713"/>
      <w:r>
        <w:rPr>
          <w:rFonts w:cs="Times New Roman"/>
          <w:b/>
          <w:szCs w:val="28"/>
        </w:rPr>
        <w:t>5.6 划定成果</w:t>
      </w:r>
      <w:bookmarkEnd w:id="55"/>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河道管理范围划定的成果内容如下：</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①</w:t>
      </w:r>
      <w:r>
        <w:rPr>
          <w:rFonts w:cs="Times New Roman"/>
          <w:color w:val="000000" w:themeColor="text1"/>
          <w:szCs w:val="20"/>
          <w14:textFill>
            <w14:solidFill>
              <w14:schemeClr w14:val="tx1"/>
            </w14:solidFill>
          </w14:textFill>
        </w:rPr>
        <w:t xml:space="preserve"> 河道管理范围划定成果表，包含管理范围线，主要控制点编号、坐标、岸别、防洪标准、基线外距离、设计水面线或最高洪水位线高程、划定标准类型编号等数据；</w:t>
      </w:r>
    </w:p>
    <w:p>
      <w:pPr>
        <w:ind w:firstLine="560"/>
        <w:rPr>
          <w:rFonts w:cs="Times New Roman"/>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②</w:t>
      </w:r>
      <w:r>
        <w:rPr>
          <w:rFonts w:cs="Times New Roman"/>
          <w:color w:val="000000" w:themeColor="text1"/>
          <w:szCs w:val="20"/>
          <w14:textFill>
            <w14:solidFill>
              <w14:schemeClr w14:val="tx1"/>
            </w14:solidFill>
          </w14:textFill>
        </w:rPr>
        <w:t xml:space="preserve"> 河湖管理范围划定成果图，包含河湖管理范围线（含划界基准线），河道地形底图，高程及坐标系说明、图例等要素。</w:t>
      </w:r>
    </w:p>
    <w:p>
      <w:pPr>
        <w:keepNext/>
        <w:keepLines/>
        <w:spacing w:before="120" w:after="120"/>
        <w:ind w:firstLine="0" w:firstLineChars="0"/>
        <w:jc w:val="left"/>
        <w:textAlignment w:val="baseline"/>
        <w:outlineLvl w:val="0"/>
        <w:rPr>
          <w:rFonts w:cs="Times New Roman"/>
          <w:b/>
          <w:kern w:val="44"/>
          <w:sz w:val="32"/>
          <w:szCs w:val="20"/>
        </w:rPr>
        <w:sectPr>
          <w:pgSz w:w="11906" w:h="16838"/>
          <w:pgMar w:top="1440" w:right="1418" w:bottom="1440" w:left="1418" w:header="851" w:footer="992" w:gutter="0"/>
          <w:cols w:space="720" w:num="1"/>
          <w:docGrid w:type="lines" w:linePitch="312" w:charSpace="0"/>
        </w:sectPr>
      </w:pPr>
    </w:p>
    <w:p>
      <w:pPr>
        <w:keepNext/>
        <w:keepLines/>
        <w:spacing w:before="120" w:after="120"/>
        <w:ind w:firstLine="0" w:firstLineChars="0"/>
        <w:jc w:val="left"/>
        <w:textAlignment w:val="baseline"/>
        <w:outlineLvl w:val="0"/>
        <w:rPr>
          <w:rFonts w:cs="Times New Roman"/>
          <w:b/>
          <w:kern w:val="44"/>
          <w:sz w:val="32"/>
          <w:szCs w:val="20"/>
        </w:rPr>
      </w:pPr>
      <w:bookmarkStart w:id="56" w:name="_Toc56103714"/>
      <w:bookmarkStart w:id="57" w:name="_Toc27146103"/>
      <w:r>
        <w:rPr>
          <w:rFonts w:cs="Times New Roman"/>
          <w:b/>
          <w:kern w:val="44"/>
          <w:sz w:val="32"/>
          <w:szCs w:val="20"/>
        </w:rPr>
        <w:t>6 保障措施</w:t>
      </w:r>
      <w:bookmarkEnd w:id="56"/>
      <w:bookmarkEnd w:id="57"/>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为维护河湖生态健康、行洪畅通、河势稳定，</w:t>
      </w:r>
      <w:bookmarkStart w:id="58" w:name="_Hlk25705566"/>
      <w:r>
        <w:rPr>
          <w:rFonts w:cs="Times New Roman"/>
          <w:color w:val="000000" w:themeColor="text1"/>
          <w:szCs w:val="28"/>
          <w14:textFill>
            <w14:solidFill>
              <w14:schemeClr w14:val="tx1"/>
            </w14:solidFill>
          </w14:textFill>
        </w:rPr>
        <w:t>根据《广东省河湖管理范围划定技术指引（试行）》及国家和省的相关法规、文件、规范和标准的规定划定河道管理范围，提出</w:t>
      </w:r>
      <w:r>
        <w:rPr>
          <w:rFonts w:hint="eastAsia" w:cs="Times New Roman"/>
          <w:color w:val="000000" w:themeColor="text1"/>
          <w:szCs w:val="28"/>
          <w14:textFill>
            <w14:solidFill>
              <w14:schemeClr w14:val="tx1"/>
            </w14:solidFill>
          </w14:textFill>
        </w:rPr>
        <w:t>汕尾市华侨管理区</w:t>
      </w:r>
      <w:r>
        <w:rPr>
          <w:rFonts w:hint="eastAsia" w:cs="Times New Roman"/>
          <w:szCs w:val="28"/>
        </w:rPr>
        <w:t>鳌江（港仔溪）</w:t>
      </w:r>
      <w:r>
        <w:rPr>
          <w:rFonts w:cs="Times New Roman"/>
          <w:color w:val="000000" w:themeColor="text1"/>
          <w:szCs w:val="28"/>
          <w14:textFill>
            <w14:solidFill>
              <w14:schemeClr w14:val="tx1"/>
            </w14:solidFill>
          </w14:textFill>
        </w:rPr>
        <w:t>河湖管理范围划定</w:t>
      </w:r>
      <w:bookmarkEnd w:id="58"/>
      <w:r>
        <w:rPr>
          <w:rFonts w:cs="Times New Roman"/>
          <w:color w:val="000000" w:themeColor="text1"/>
          <w:szCs w:val="28"/>
          <w14:textFill>
            <w14:solidFill>
              <w14:schemeClr w14:val="tx1"/>
            </w14:solidFill>
          </w14:textFill>
        </w:rPr>
        <w:t>的保障措施。</w:t>
      </w:r>
    </w:p>
    <w:p>
      <w:pPr>
        <w:keepNext/>
        <w:keepLines/>
        <w:spacing w:before="156" w:beforeLines="50"/>
        <w:ind w:firstLine="0" w:firstLineChars="0"/>
        <w:jc w:val="left"/>
        <w:textAlignment w:val="baseline"/>
        <w:outlineLvl w:val="1"/>
        <w:rPr>
          <w:rFonts w:cs="Times New Roman"/>
          <w:b/>
          <w:szCs w:val="28"/>
        </w:rPr>
      </w:pPr>
      <w:bookmarkStart w:id="59" w:name="_Toc27146104"/>
      <w:bookmarkStart w:id="60" w:name="_Toc56103715"/>
      <w:r>
        <w:rPr>
          <w:rFonts w:cs="Times New Roman"/>
          <w:b/>
          <w:szCs w:val="28"/>
        </w:rPr>
        <w:t>6.1 加强组织领导</w:t>
      </w:r>
      <w:bookmarkEnd w:id="59"/>
      <w:bookmarkEnd w:id="60"/>
    </w:p>
    <w:p>
      <w:pPr>
        <w:ind w:firstLine="560"/>
        <w:rPr>
          <w:rFonts w:cs="Times New Roman"/>
          <w:color w:val="000000" w:themeColor="text1"/>
          <w:szCs w:val="28"/>
          <w14:textFill>
            <w14:solidFill>
              <w14:schemeClr w14:val="tx1"/>
            </w14:solidFill>
          </w14:textFill>
        </w:rPr>
      </w:pPr>
      <w:r>
        <w:rPr>
          <w:rFonts w:hint="eastAsia" w:cs="Times New Roman"/>
          <w:color w:val="000000" w:themeColor="text1"/>
          <w:szCs w:val="28"/>
          <w14:textFill>
            <w14:solidFill>
              <w14:schemeClr w14:val="tx1"/>
            </w14:solidFill>
          </w14:textFill>
        </w:rPr>
        <w:t>汕尾市华侨管理区</w:t>
      </w:r>
      <w:r>
        <w:rPr>
          <w:rFonts w:cs="Times New Roman"/>
          <w:color w:val="000000" w:themeColor="text1"/>
          <w:szCs w:val="28"/>
          <w14:textFill>
            <w14:solidFill>
              <w14:schemeClr w14:val="tx1"/>
            </w14:solidFill>
          </w14:textFill>
        </w:rPr>
        <w:t>有关单位务必高度重视，依托河长制湖长制平台，切实加强组织领导，采取有效措施扎实推进河湖管理范围划定工作。县级以上地方水行政主管部门、河长制办公室要主动做好相关工作，积极向有关河湖长汇报，加强与有关部门沟通协调，形成工作合力，推进信息共享。</w:t>
      </w:r>
      <w:r>
        <w:rPr>
          <w:rFonts w:hint="eastAsia" w:cs="Times New Roman"/>
          <w:color w:val="000000" w:themeColor="text1"/>
          <w:szCs w:val="28"/>
          <w14:textFill>
            <w14:solidFill>
              <w14:schemeClr w14:val="tx1"/>
            </w14:solidFill>
          </w14:textFill>
        </w:rPr>
        <w:t>汕尾市华侨管理区</w:t>
      </w:r>
      <w:r>
        <w:rPr>
          <w:rFonts w:cs="Times New Roman"/>
          <w:color w:val="000000" w:themeColor="text1"/>
          <w:szCs w:val="28"/>
          <w14:textFill>
            <w14:solidFill>
              <w14:schemeClr w14:val="tx1"/>
            </w14:solidFill>
          </w14:textFill>
        </w:rPr>
        <w:t>要将河湖管理范围划定工作纳入河长制湖长制考核，强化激励问责。</w:t>
      </w:r>
    </w:p>
    <w:p>
      <w:pPr>
        <w:keepNext/>
        <w:keepLines/>
        <w:spacing w:before="156" w:beforeLines="50"/>
        <w:ind w:firstLine="0" w:firstLineChars="0"/>
        <w:jc w:val="left"/>
        <w:textAlignment w:val="baseline"/>
        <w:outlineLvl w:val="1"/>
        <w:rPr>
          <w:rFonts w:cs="Times New Roman"/>
          <w:b/>
          <w:szCs w:val="28"/>
        </w:rPr>
      </w:pPr>
      <w:bookmarkStart w:id="61" w:name="_Toc27146105"/>
      <w:bookmarkStart w:id="62" w:name="_Toc56103716"/>
      <w:r>
        <w:rPr>
          <w:rFonts w:cs="Times New Roman"/>
          <w:b/>
          <w:szCs w:val="28"/>
        </w:rPr>
        <w:t>6.2 健全工作机制</w:t>
      </w:r>
      <w:bookmarkEnd w:id="61"/>
      <w:bookmarkEnd w:id="62"/>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建立河长会议制度、信息共享制度、工作督察制度，协调解决河湖管理保护的重点难点问题，定期通报河湖管理保护情况，对河长制实施情况和河长履职情况进行督察。</w:t>
      </w:r>
      <w:r>
        <w:rPr>
          <w:rFonts w:hint="eastAsia" w:cs="Times New Roman"/>
          <w:color w:val="000000" w:themeColor="text1"/>
          <w:szCs w:val="28"/>
          <w14:textFill>
            <w14:solidFill>
              <w14:schemeClr w14:val="tx1"/>
            </w14:solidFill>
          </w14:textFill>
        </w:rPr>
        <w:t>汕尾市华侨管理区</w:t>
      </w:r>
      <w:r>
        <w:rPr>
          <w:rFonts w:cs="Times New Roman"/>
          <w:color w:val="000000" w:themeColor="text1"/>
          <w:szCs w:val="28"/>
          <w14:textFill>
            <w14:solidFill>
              <w14:schemeClr w14:val="tx1"/>
            </w14:solidFill>
          </w14:textFill>
        </w:rPr>
        <w:t>各级河长制办公室要加强组织协调，督促相关部门单位按照职责分工，落实责任，密切配合，协调联动，共同推进河湖管理保护工作。</w:t>
      </w:r>
    </w:p>
    <w:p>
      <w:pPr>
        <w:keepNext/>
        <w:keepLines/>
        <w:spacing w:before="156" w:beforeLines="50"/>
        <w:ind w:firstLine="0" w:firstLineChars="0"/>
        <w:jc w:val="left"/>
        <w:textAlignment w:val="baseline"/>
        <w:outlineLvl w:val="1"/>
        <w:rPr>
          <w:rFonts w:cs="Times New Roman"/>
          <w:b/>
          <w:szCs w:val="28"/>
        </w:rPr>
      </w:pPr>
      <w:bookmarkStart w:id="63" w:name="_Toc56103717"/>
      <w:bookmarkStart w:id="64" w:name="_Toc27146106"/>
      <w:r>
        <w:rPr>
          <w:rFonts w:cs="Times New Roman"/>
          <w:b/>
          <w:szCs w:val="28"/>
        </w:rPr>
        <w:t>6.3 资金投入保障</w:t>
      </w:r>
      <w:bookmarkEnd w:id="63"/>
      <w:bookmarkEnd w:id="64"/>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建立长期稳定的河道、堤防管理维护投入机制。</w:t>
      </w:r>
      <w:r>
        <w:rPr>
          <w:rFonts w:hint="eastAsia" w:cs="Times New Roman"/>
          <w:color w:val="000000" w:themeColor="text1"/>
          <w:szCs w:val="28"/>
          <w14:textFill>
            <w14:solidFill>
              <w14:schemeClr w14:val="tx1"/>
            </w14:solidFill>
          </w14:textFill>
        </w:rPr>
        <w:t>汕尾市华侨管理区</w:t>
      </w:r>
      <w:r>
        <w:rPr>
          <w:rFonts w:cs="Times New Roman"/>
          <w:color w:val="000000" w:themeColor="text1"/>
          <w:szCs w:val="28"/>
          <w14:textFill>
            <w14:solidFill>
              <w14:schemeClr w14:val="tx1"/>
            </w14:solidFill>
          </w14:textFill>
        </w:rPr>
        <w:t>河湖管理范围的划定和落实，关系沿岸居民的切身利益，关系沿岸城乡的社会经济发展效益，希望引起各级领导的高度重视，尽量缩短堤防工程投资期限，促进城区水系两岸社会、经济的快速发展。根据现有的河道管理体制，除国家补助外，各级地方人民政府应当保证必要的资金投入。</w:t>
      </w:r>
    </w:p>
    <w:p>
      <w:pPr>
        <w:keepNext/>
        <w:keepLines/>
        <w:spacing w:before="156" w:beforeLines="50"/>
        <w:ind w:firstLine="0" w:firstLineChars="0"/>
        <w:jc w:val="left"/>
        <w:textAlignment w:val="baseline"/>
        <w:outlineLvl w:val="1"/>
        <w:rPr>
          <w:rFonts w:cs="Times New Roman"/>
          <w:b/>
          <w:szCs w:val="28"/>
        </w:rPr>
      </w:pPr>
      <w:bookmarkStart w:id="65" w:name="_Toc56103718"/>
      <w:bookmarkStart w:id="66" w:name="_Toc27146107"/>
      <w:r>
        <w:rPr>
          <w:rFonts w:cs="Times New Roman"/>
          <w:b/>
          <w:szCs w:val="28"/>
        </w:rPr>
        <w:t>6.4 法规制度保障</w:t>
      </w:r>
      <w:bookmarkEnd w:id="65"/>
      <w:bookmarkEnd w:id="66"/>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1988年国务院颁发的《中华人民共和国河道管理条例》及现有有关河道管理的法律法规主要是规范河道的整治建设和保护行为，涉及河道管理范围划定的内容较少。随着社会经济发展，有关行业和部门对岸线资源的需求越来越大，且在管理权限方面，又存在交通、水利、城建等多头管理现象，管理职责不清，又追求行业利益，非常不利于河道的管理和保护。</w:t>
      </w:r>
    </w:p>
    <w:p>
      <w:pPr>
        <w:ind w:firstLine="560"/>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建议结合本次河道管理范围划定成果，明确水行政主管部门在河道管理方面的权责，建立河道统一管理机制，继续完善涉河建设项目的管理制度;按照水功能分区合理规划岸线资源，制定涉河建设项目审批技术标准，清理河道管理范围内违章设施，建立河道岸线水域占补平衡制度，提高河道管理范围占用补偿费标准，以促进岸线资源的有效保护和可持续利用，确保河道行洪安全和水生态安全。</w:t>
      </w:r>
    </w:p>
    <w:p>
      <w:pPr>
        <w:keepNext/>
        <w:keepLines/>
        <w:spacing w:before="156" w:beforeLines="50"/>
        <w:ind w:firstLine="0" w:firstLineChars="0"/>
        <w:jc w:val="left"/>
        <w:textAlignment w:val="baseline"/>
        <w:outlineLvl w:val="1"/>
        <w:rPr>
          <w:rFonts w:cs="Times New Roman"/>
          <w:b/>
          <w:szCs w:val="28"/>
        </w:rPr>
      </w:pPr>
      <w:bookmarkStart w:id="67" w:name="_Toc56103719"/>
      <w:bookmarkStart w:id="68" w:name="_Toc27146108"/>
      <w:r>
        <w:rPr>
          <w:rFonts w:cs="Times New Roman"/>
          <w:b/>
          <w:szCs w:val="28"/>
        </w:rPr>
        <w:t>6.5 加强与国土空间规划的衔接</w:t>
      </w:r>
      <w:bookmarkEnd w:id="67"/>
      <w:bookmarkEnd w:id="68"/>
    </w:p>
    <w:p>
      <w:pPr>
        <w:ind w:firstLine="560"/>
        <w:rPr>
          <w:rFonts w:cs="Times New Roman"/>
          <w:color w:val="000000" w:themeColor="text1"/>
          <w:szCs w:val="20"/>
          <w14:textFill>
            <w14:solidFill>
              <w14:schemeClr w14:val="tx1"/>
            </w14:solidFill>
          </w14:textFill>
        </w:rPr>
      </w:pPr>
      <w:r>
        <w:rPr>
          <w:rFonts w:cs="Times New Roman"/>
          <w:color w:val="000000" w:themeColor="text1"/>
          <w:szCs w:val="20"/>
          <w14:textFill>
            <w14:solidFill>
              <w14:schemeClr w14:val="tx1"/>
            </w14:solidFill>
          </w14:textFill>
        </w:rPr>
        <w:t>本次划界工作要加强与国土空间规划工作的衔接。对城市或者镇的总体规划和土地利用总体规划与河湖划界管理范围划定工作实施中存在矛盾的差异图斑进行协调性、一致性处理，保证营商环境顺畅衔接。需要进一步落实《土地管理法》、《城乡规划法》这些法律工作，并做好与</w:t>
      </w:r>
      <w:r>
        <w:rPr>
          <w:rFonts w:cs="Times New Roman"/>
          <w:color w:val="000000" w:themeColor="text1"/>
          <w:szCs w:val="28"/>
          <w14:textFill>
            <w14:solidFill>
              <w14:schemeClr w14:val="tx1"/>
            </w14:solidFill>
          </w14:textFill>
        </w:rPr>
        <w:t>《中华人民共和国河道管理条例》及现有有关河道管理的法律法规的衔接工作，确保耕地保有量，不得突破已经确定的生态保护红线和永久基本农田控制线，不得突破城市、镇的总体规划所确定的禁止建设区等规划强制性内容。</w:t>
      </w:r>
    </w:p>
    <w:p>
      <w:pPr>
        <w:keepNext/>
        <w:keepLines/>
        <w:spacing w:before="156" w:beforeLines="50"/>
        <w:ind w:firstLine="0" w:firstLineChars="0"/>
        <w:jc w:val="left"/>
        <w:textAlignment w:val="baseline"/>
        <w:outlineLvl w:val="1"/>
        <w:rPr>
          <w:rFonts w:cs="Times New Roman"/>
          <w:b/>
          <w:szCs w:val="28"/>
        </w:rPr>
      </w:pPr>
      <w:bookmarkStart w:id="69" w:name="_Toc56103720"/>
      <w:bookmarkStart w:id="70" w:name="_Toc27146109"/>
      <w:r>
        <w:rPr>
          <w:rFonts w:cs="Times New Roman"/>
          <w:b/>
          <w:szCs w:val="28"/>
        </w:rPr>
        <w:t>6.6 加强公众参与</w:t>
      </w:r>
      <w:bookmarkEnd w:id="69"/>
      <w:bookmarkEnd w:id="70"/>
    </w:p>
    <w:p>
      <w:pPr>
        <w:ind w:firstLine="560"/>
        <w:rPr>
          <w:rFonts w:cs="Times New Roman"/>
        </w:rPr>
      </w:pPr>
      <w:r>
        <w:rPr>
          <w:rFonts w:hint="eastAsia" w:cs="Times New Roman"/>
          <w:color w:val="000000" w:themeColor="text1"/>
          <w:szCs w:val="28"/>
          <w14:textFill>
            <w14:solidFill>
              <w14:schemeClr w14:val="tx1"/>
            </w14:solidFill>
          </w14:textFill>
        </w:rPr>
        <w:t>汕尾市华侨管理区</w:t>
      </w:r>
      <w:r>
        <w:rPr>
          <w:rFonts w:cs="Times New Roman"/>
        </w:rPr>
        <w:t>各单位要营造有效的公众参与机制。建立公开透明、公众参与、公正廉洁的民主管理机制和行政管理体制，与群众利益密切相关的重大问题，要广泛听取和充分反映公众意见，提高全社会对加快经济发展和保护岸线资源相协调的认同程度。要促进沿岸开发利用的各个企业单位、特别是非政府组织充分参与到河道管理和保护中来。要提高全民保护水、珍惜河道资源的意识，将维护河道成为全社会每个成员的实际行动，取得更好的经济社会和环境效果。进一步加强规划实施的民主监督，扩大政务公开，强化信息引导，面向企业和公众，积极广泛地组织好规划宜传，形成全社会关心规划、参与实施和共同监督的良好氛围。</w:t>
      </w:r>
    </w:p>
    <w:p>
      <w:pPr>
        <w:keepNext/>
        <w:keepLines/>
        <w:spacing w:before="156" w:beforeLines="50"/>
        <w:ind w:firstLine="0" w:firstLineChars="0"/>
        <w:jc w:val="left"/>
        <w:textAlignment w:val="baseline"/>
        <w:outlineLvl w:val="1"/>
        <w:rPr>
          <w:rFonts w:cs="Times New Roman"/>
          <w:b/>
          <w:szCs w:val="28"/>
        </w:rPr>
      </w:pPr>
      <w:bookmarkStart w:id="71" w:name="_Toc56103721"/>
      <w:bookmarkStart w:id="72" w:name="_Toc27146110"/>
      <w:r>
        <w:rPr>
          <w:rFonts w:cs="Times New Roman"/>
          <w:b/>
          <w:szCs w:val="28"/>
        </w:rPr>
        <w:t>6.7 强化考核问责</w:t>
      </w:r>
      <w:bookmarkEnd w:id="71"/>
      <w:bookmarkEnd w:id="72"/>
    </w:p>
    <w:p>
      <w:pPr>
        <w:ind w:firstLine="560"/>
        <w:rPr>
          <w:rFonts w:cs="Times New Roman"/>
        </w:rPr>
      </w:pPr>
      <w:r>
        <w:rPr>
          <w:rFonts w:cs="Times New Roman"/>
        </w:rPr>
        <w:t>根据不同河湖存在的主要问题，实行差异化绩效评价考核，将领导干部自然资源资产离任审计结果及整改情况作为考核的重要参考。县级及以上河长负责组织对相应河湖下一级河长进行考核，考核结果作为地方党政领导干部综合考核评价的重要依据。实行生态环境损害责任终身追究制，对造成生态环境损害的，严格按照有关规定追究责任。</w:t>
      </w:r>
    </w:p>
    <w:p>
      <w:pPr>
        <w:keepNext/>
        <w:keepLines/>
        <w:spacing w:before="156" w:beforeLines="50"/>
        <w:ind w:firstLine="0" w:firstLineChars="0"/>
        <w:jc w:val="left"/>
        <w:textAlignment w:val="baseline"/>
        <w:outlineLvl w:val="1"/>
        <w:rPr>
          <w:rFonts w:cs="Times New Roman"/>
          <w:b/>
          <w:szCs w:val="28"/>
        </w:rPr>
      </w:pPr>
      <w:bookmarkStart w:id="73" w:name="_Toc56103722"/>
      <w:bookmarkStart w:id="74" w:name="_Toc27146111"/>
      <w:r>
        <w:rPr>
          <w:rFonts w:cs="Times New Roman"/>
          <w:b/>
          <w:szCs w:val="28"/>
        </w:rPr>
        <w:t>6.8 加强社会监督</w:t>
      </w:r>
      <w:bookmarkEnd w:id="73"/>
      <w:bookmarkEnd w:id="74"/>
    </w:p>
    <w:p>
      <w:pPr>
        <w:ind w:firstLine="560"/>
        <w:rPr>
          <w:rFonts w:cs="Times New Roman"/>
        </w:rPr>
      </w:pPr>
      <w:r>
        <w:rPr>
          <w:rFonts w:cs="Times New Roman"/>
        </w:rPr>
        <w:t>建立河湖管理保护信息发布平台，通过主要媒体向社会公告河长名单，在河湖岸边显著位置竖立河长公示牌，标明河长职责、河湖概况、管护目标、监督电话等内容，接受社会监督。聘请社会监督员对河湖管理保护效果进行监督和评价。进一步做好宣传舆论引导，提高全社会对河湖保护工作的责任意识和参与意识。各省（自治区、直辖市）党委和政府要在每年1月底前将上年度贯彻落实情况报党中央、国务院。</w:t>
      </w:r>
    </w:p>
    <w:p>
      <w:pPr>
        <w:keepNext/>
        <w:keepLines/>
        <w:spacing w:before="156" w:beforeLines="50"/>
        <w:ind w:firstLine="0" w:firstLineChars="0"/>
        <w:jc w:val="left"/>
        <w:textAlignment w:val="baseline"/>
        <w:outlineLvl w:val="1"/>
        <w:rPr>
          <w:rFonts w:cs="Times New Roman"/>
          <w:b/>
          <w:szCs w:val="28"/>
        </w:rPr>
      </w:pPr>
      <w:bookmarkStart w:id="75" w:name="_Toc56103723"/>
      <w:bookmarkStart w:id="76" w:name="_Toc27146112"/>
      <w:r>
        <w:rPr>
          <w:rFonts w:cs="Times New Roman"/>
          <w:b/>
          <w:szCs w:val="28"/>
        </w:rPr>
        <w:t>6.9 维护管理</w:t>
      </w:r>
      <w:bookmarkEnd w:id="75"/>
      <w:bookmarkEnd w:id="76"/>
    </w:p>
    <w:p>
      <w:pPr>
        <w:ind w:firstLine="560"/>
        <w:rPr>
          <w:rFonts w:cs="Times New Roman"/>
        </w:rPr>
      </w:pPr>
      <w:r>
        <w:rPr>
          <w:rFonts w:cs="Times New Roman"/>
        </w:rPr>
        <w:t>划界工作完成后，</w:t>
      </w:r>
      <w:r>
        <w:rPr>
          <w:rFonts w:hint="eastAsia" w:cs="Times New Roman"/>
          <w:color w:val="000000" w:themeColor="text1"/>
          <w:szCs w:val="28"/>
          <w14:textFill>
            <w14:solidFill>
              <w14:schemeClr w14:val="tx1"/>
            </w14:solidFill>
          </w14:textFill>
        </w:rPr>
        <w:t>华侨管理区</w:t>
      </w:r>
      <w:r>
        <w:rPr>
          <w:rFonts w:cs="Times New Roman"/>
        </w:rPr>
        <w:t>相关部门可成立</w:t>
      </w:r>
      <w:r>
        <w:rPr>
          <w:rFonts w:ascii="宋体" w:hAnsi="宋体" w:cs="Times New Roman"/>
        </w:rPr>
        <w:t>“</w:t>
      </w:r>
      <w:r>
        <w:rPr>
          <w:rFonts w:cs="Times New Roman"/>
        </w:rPr>
        <w:t>河道管理范围划界成果维护小组</w:t>
      </w:r>
      <w:r>
        <w:rPr>
          <w:rFonts w:ascii="宋体" w:hAnsi="宋体" w:cs="Times New Roman"/>
        </w:rPr>
        <w:t>”</w:t>
      </w:r>
      <w:r>
        <w:rPr>
          <w:rFonts w:cs="Times New Roman"/>
        </w:rPr>
        <w:t>，并制定相关的工作制度及条例，严格按照相关法律法规对河湖划界成果（如：界桩）进行维护与管理。</w:t>
      </w:r>
    </w:p>
    <w:p>
      <w:pPr>
        <w:ind w:firstLine="560"/>
        <w:rPr>
          <w:rFonts w:cs="Times New Roman"/>
        </w:rPr>
      </w:pPr>
      <w:r>
        <w:rPr>
          <w:rFonts w:cs="Times New Roman"/>
        </w:rPr>
        <w:t>建立定期巡查制度，相关工作人员可以定期到河湖管理区内巡查，若发现有破坏划界成果（如：界桩）的行为，应及时上报并追究破坏者的责任。</w:t>
      </w:r>
    </w:p>
    <w:p>
      <w:pPr>
        <w:ind w:firstLine="0" w:firstLineChars="0"/>
        <w:rPr>
          <w:rFonts w:cs="Times New Roman"/>
        </w:rPr>
      </w:pPr>
    </w:p>
    <w:p>
      <w:pPr>
        <w:ind w:firstLine="0" w:firstLineChars="0"/>
        <w:rPr>
          <w:rFonts w:cs="Times New Roman"/>
        </w:rPr>
        <w:sectPr>
          <w:pgSz w:w="11906" w:h="16838"/>
          <w:pgMar w:top="1440" w:right="1418" w:bottom="1440" w:left="1418" w:header="851" w:footer="992" w:gutter="0"/>
          <w:cols w:space="720" w:num="1"/>
          <w:docGrid w:type="lines" w:linePitch="312" w:charSpace="0"/>
        </w:sectPr>
      </w:pPr>
    </w:p>
    <w:p>
      <w:pPr>
        <w:keepNext/>
        <w:keepLines/>
        <w:spacing w:before="120" w:after="120"/>
        <w:ind w:firstLine="199" w:firstLineChars="62"/>
        <w:jc w:val="left"/>
        <w:textAlignment w:val="baseline"/>
        <w:outlineLvl w:val="0"/>
        <w:rPr>
          <w:rFonts w:cs="Times New Roman"/>
          <w:b/>
          <w:kern w:val="44"/>
          <w:sz w:val="32"/>
          <w:szCs w:val="20"/>
        </w:rPr>
      </w:pPr>
      <w:bookmarkStart w:id="77" w:name="_Toc56103724"/>
      <w:r>
        <w:rPr>
          <w:rFonts w:cs="Times New Roman"/>
          <w:b/>
          <w:kern w:val="44"/>
          <w:sz w:val="32"/>
          <w:szCs w:val="20"/>
        </w:rPr>
        <w:t>7 结论与建议</w:t>
      </w:r>
      <w:bookmarkEnd w:id="77"/>
    </w:p>
    <w:p>
      <w:pPr>
        <w:keepNext/>
        <w:keepLines/>
        <w:spacing w:before="156" w:beforeLines="50"/>
        <w:ind w:firstLine="0" w:firstLineChars="0"/>
        <w:jc w:val="left"/>
        <w:textAlignment w:val="baseline"/>
        <w:outlineLvl w:val="1"/>
        <w:rPr>
          <w:rFonts w:cs="Times New Roman"/>
          <w:b/>
          <w:szCs w:val="28"/>
        </w:rPr>
      </w:pPr>
      <w:bookmarkStart w:id="78" w:name="_Toc56103725"/>
      <w:bookmarkStart w:id="79" w:name="_Toc523671096"/>
      <w:r>
        <w:rPr>
          <w:rFonts w:cs="Times New Roman"/>
          <w:b/>
          <w:szCs w:val="28"/>
        </w:rPr>
        <w:t>7.1 结论</w:t>
      </w:r>
      <w:bookmarkEnd w:id="78"/>
    </w:p>
    <w:p>
      <w:pPr>
        <w:ind w:firstLine="560"/>
        <w:rPr>
          <w:rFonts w:cs="Times New Roman"/>
        </w:rPr>
      </w:pPr>
      <w:r>
        <w:rPr>
          <w:rFonts w:cs="Times New Roman"/>
        </w:rPr>
        <w:t>（1）</w:t>
      </w:r>
      <w:r>
        <w:rPr>
          <w:rFonts w:hint="eastAsia" w:cs="Times New Roman"/>
          <w:color w:val="000000" w:themeColor="text1"/>
          <w:szCs w:val="28"/>
          <w14:textFill>
            <w14:solidFill>
              <w14:schemeClr w14:val="tx1"/>
            </w14:solidFill>
          </w14:textFill>
        </w:rPr>
        <w:t>汕尾市华侨管理区</w:t>
      </w:r>
      <w:r>
        <w:rPr>
          <w:rFonts w:cs="Times New Roman"/>
        </w:rPr>
        <w:t>河湖管理范围划定工作，根据《广东省河湖管理范围划定技术指引（试行）》及国家和省的相关法规、文件、规范和标准的规定，直接开展研究工作。通过地方水利局上报的相关堤防基本情况（包括堤防的长度、位置等资料）、划界技术人员实地查勘，进行河湖划界工作。本项工作划定对象为</w:t>
      </w:r>
      <w:r>
        <w:rPr>
          <w:rFonts w:hint="eastAsia" w:cs="Times New Roman"/>
          <w:szCs w:val="28"/>
        </w:rPr>
        <w:t>鳌江（港仔溪）</w:t>
      </w:r>
      <w:r>
        <w:rPr>
          <w:rFonts w:cs="Times New Roman"/>
          <w:color w:val="000000" w:themeColor="text1"/>
          <w:szCs w:val="20"/>
          <w14:textFill>
            <w14:solidFill>
              <w14:schemeClr w14:val="tx1"/>
            </w14:solidFill>
          </w14:textFill>
        </w:rPr>
        <w:t>，本次划界长度约为</w:t>
      </w:r>
      <w:r>
        <w:rPr>
          <w:rFonts w:cs="Times New Roman"/>
          <w:color w:val="000000" w:themeColor="text1"/>
          <w:szCs w:val="28"/>
          <w14:textFill>
            <w14:solidFill>
              <w14:schemeClr w14:val="tx1"/>
            </w14:solidFill>
          </w14:textFill>
        </w:rPr>
        <w:t>4.783</w:t>
      </w:r>
      <w:r>
        <w:rPr>
          <w:rFonts w:cs="Times New Roman"/>
          <w:color w:val="000000" w:themeColor="text1"/>
          <w:szCs w:val="20"/>
          <w14:textFill>
            <w14:solidFill>
              <w14:schemeClr w14:val="tx1"/>
            </w14:solidFill>
          </w14:textFill>
        </w:rPr>
        <w:t>km。</w:t>
      </w:r>
    </w:p>
    <w:p>
      <w:pPr>
        <w:ind w:firstLine="560"/>
        <w:rPr>
          <w:rFonts w:cs="Times New Roman"/>
        </w:rPr>
      </w:pPr>
      <w:r>
        <w:rPr>
          <w:rFonts w:cs="Times New Roman"/>
        </w:rPr>
        <w:t>（2）本次划界</w:t>
      </w:r>
      <w:r>
        <w:rPr>
          <w:rFonts w:hint="eastAsia" w:cs="Times New Roman"/>
        </w:rPr>
        <w:t>华侨管理</w:t>
      </w:r>
      <w:r>
        <w:rPr>
          <w:rFonts w:cs="Times New Roman"/>
        </w:rPr>
        <w:t>区主要包括以下划界标准：</w:t>
      </w:r>
      <w:r>
        <w:rPr>
          <w:rFonts w:cs="Times New Roman"/>
        </w:rPr>
        <w:fldChar w:fldCharType="begin"/>
      </w:r>
      <w:r>
        <w:rPr>
          <w:rFonts w:cs="Times New Roman"/>
        </w:rPr>
        <w:instrText xml:space="preserve"> = 1 \* GB3 </w:instrText>
      </w:r>
      <w:r>
        <w:rPr>
          <w:rFonts w:cs="Times New Roman"/>
        </w:rPr>
        <w:fldChar w:fldCharType="separate"/>
      </w:r>
      <w:r>
        <w:rPr>
          <w:rFonts w:hint="eastAsia" w:ascii="宋体" w:hAnsi="宋体" w:cs="宋体"/>
        </w:rPr>
        <w:t>①</w:t>
      </w:r>
      <w:r>
        <w:rPr>
          <w:rFonts w:cs="Times New Roman"/>
        </w:rPr>
        <w:fldChar w:fldCharType="end"/>
      </w:r>
      <w:r>
        <w:rPr>
          <w:rFonts w:hint="eastAsia" w:cs="Times New Roman"/>
        </w:rPr>
        <w:t>对于有堤防工程（护岸）的河段，以堤身结构外边界线为起算线</w:t>
      </w:r>
      <w:r>
        <w:rPr>
          <w:rFonts w:cs="Times New Roman"/>
        </w:rPr>
        <w:t>外延一定距离为河道管理范围线；</w:t>
      </w:r>
      <w:r>
        <w:rPr>
          <w:rFonts w:cs="Times New Roman"/>
        </w:rPr>
        <w:fldChar w:fldCharType="begin"/>
      </w:r>
      <w:r>
        <w:rPr>
          <w:rFonts w:cs="Times New Roman"/>
        </w:rPr>
        <w:instrText xml:space="preserve"> = 2 \* GB3 </w:instrText>
      </w:r>
      <w:r>
        <w:rPr>
          <w:rFonts w:cs="Times New Roman"/>
        </w:rPr>
        <w:fldChar w:fldCharType="separate"/>
      </w:r>
      <w:r>
        <w:rPr>
          <w:rFonts w:hint="eastAsia" w:ascii="宋体" w:hAnsi="宋体" w:cs="宋体"/>
        </w:rPr>
        <w:t>②</w:t>
      </w:r>
      <w:r>
        <w:rPr>
          <w:rFonts w:cs="Times New Roman"/>
        </w:rPr>
        <w:fldChar w:fldCharType="end"/>
      </w:r>
      <w:r>
        <w:rPr>
          <w:rFonts w:cs="Times New Roman"/>
        </w:rPr>
        <w:t>对于无堤无规划平原段，以相应设计洪水位与岸边交界为起算线外延一定距离为河道管理范围线；</w:t>
      </w:r>
      <w:r>
        <w:rPr>
          <w:rFonts w:cs="Times New Roman"/>
        </w:rPr>
        <w:fldChar w:fldCharType="begin"/>
      </w:r>
      <w:r>
        <w:rPr>
          <w:rFonts w:cs="Times New Roman"/>
        </w:rPr>
        <w:instrText xml:space="preserve"> = 3 \* GB3 </w:instrText>
      </w:r>
      <w:r>
        <w:rPr>
          <w:rFonts w:cs="Times New Roman"/>
        </w:rPr>
        <w:fldChar w:fldCharType="separate"/>
      </w:r>
      <w:r>
        <w:rPr>
          <w:rFonts w:hint="eastAsia" w:ascii="宋体" w:hAnsi="宋体" w:cs="宋体"/>
        </w:rPr>
        <w:t>③</w:t>
      </w:r>
      <w:r>
        <w:rPr>
          <w:rFonts w:cs="Times New Roman"/>
        </w:rPr>
        <w:fldChar w:fldCharType="end"/>
      </w:r>
      <w:r>
        <w:rPr>
          <w:rFonts w:cs="Times New Roman"/>
        </w:rPr>
        <w:t>对于</w:t>
      </w:r>
      <w:r>
        <w:rPr>
          <w:rFonts w:hint="eastAsia" w:cs="Times New Roman"/>
        </w:rPr>
        <w:t>不设防</w:t>
      </w:r>
      <w:r>
        <w:rPr>
          <w:rFonts w:cs="Times New Roman"/>
        </w:rPr>
        <w:t>河段，以</w:t>
      </w:r>
      <w:r>
        <w:rPr>
          <w:rFonts w:hint="eastAsia" w:cs="Times New Roman"/>
        </w:rPr>
        <w:t>现状河</w:t>
      </w:r>
      <w:r>
        <w:rPr>
          <w:rFonts w:cs="Times New Roman"/>
        </w:rPr>
        <w:t>岸线</w:t>
      </w:r>
      <w:r>
        <w:rPr>
          <w:rFonts w:hint="eastAsia" w:cs="Times New Roman"/>
        </w:rPr>
        <w:t>为基准线</w:t>
      </w:r>
      <w:r>
        <w:rPr>
          <w:rFonts w:cs="Times New Roman"/>
        </w:rPr>
        <w:t>外延一定距离为河道管理范围线</w:t>
      </w:r>
      <w:r>
        <w:rPr>
          <w:rFonts w:hint="eastAsia" w:cs="Times New Roman"/>
        </w:rPr>
        <w:t>。</w:t>
      </w:r>
    </w:p>
    <w:p>
      <w:pPr>
        <w:ind w:firstLine="560"/>
        <w:rPr>
          <w:rFonts w:cs="Times New Roman"/>
          <w:lang w:val="zh-TW"/>
        </w:rPr>
      </w:pPr>
      <w:r>
        <w:rPr>
          <w:rFonts w:cs="Times New Roman"/>
        </w:rPr>
        <w:t>（3）</w:t>
      </w:r>
      <w:r>
        <w:rPr>
          <w:rFonts w:cs="Times New Roman"/>
          <w:lang w:val="zh-TW"/>
        </w:rPr>
        <w:t>依法划定</w:t>
      </w:r>
      <w:r>
        <w:rPr>
          <w:rFonts w:hint="eastAsia" w:cs="Times New Roman"/>
          <w:lang w:val="zh-TW"/>
        </w:rPr>
        <w:t>汕尾市</w:t>
      </w:r>
      <w:r>
        <w:rPr>
          <w:rFonts w:hint="eastAsia" w:cs="Times New Roman"/>
        </w:rPr>
        <w:t>华侨管理</w:t>
      </w:r>
      <w:r>
        <w:rPr>
          <w:rFonts w:cs="Times New Roman"/>
        </w:rPr>
        <w:t>区</w:t>
      </w:r>
      <w:r>
        <w:rPr>
          <w:rFonts w:cs="Times New Roman"/>
          <w:lang w:val="zh-TW"/>
        </w:rPr>
        <w:t>河湖管理范围，明确河湖管理边界线，是加强河湖管理的基础性工作，也是《水法》《防洪法》《河道管理条例》等法律法规的明确规定，更是中央全面推行河长制湖长制明确的任务要求。许多地区河湖管理范围边界不清，侵占河湖、破坏河湖问题时有发生，严重影响河湖生态空间管控。因此，河湖划界工作对于</w:t>
      </w:r>
      <w:r>
        <w:rPr>
          <w:rFonts w:hint="eastAsia" w:cs="Times New Roman"/>
          <w:lang w:val="zh-TW"/>
        </w:rPr>
        <w:t>汕尾市</w:t>
      </w:r>
      <w:r>
        <w:rPr>
          <w:rFonts w:hint="eastAsia" w:cs="Times New Roman"/>
        </w:rPr>
        <w:t>华侨管理</w:t>
      </w:r>
      <w:r>
        <w:rPr>
          <w:rFonts w:cs="Times New Roman"/>
        </w:rPr>
        <w:t>区</w:t>
      </w:r>
      <w:r>
        <w:rPr>
          <w:rFonts w:cs="Times New Roman"/>
          <w:lang w:val="zh-TW"/>
        </w:rPr>
        <w:t>河湖管理具有重大意义。</w:t>
      </w:r>
      <w:bookmarkEnd w:id="79"/>
    </w:p>
    <w:p>
      <w:pPr>
        <w:keepNext/>
        <w:keepLines/>
        <w:spacing w:before="156" w:beforeLines="50"/>
        <w:ind w:firstLine="0" w:firstLineChars="0"/>
        <w:jc w:val="left"/>
        <w:textAlignment w:val="baseline"/>
        <w:outlineLvl w:val="1"/>
        <w:rPr>
          <w:rFonts w:cs="Times New Roman"/>
          <w:b/>
          <w:szCs w:val="28"/>
        </w:rPr>
      </w:pPr>
      <w:bookmarkStart w:id="80" w:name="_Toc56103726"/>
      <w:r>
        <w:rPr>
          <w:rFonts w:cs="Times New Roman"/>
          <w:b/>
          <w:szCs w:val="28"/>
        </w:rPr>
        <w:t>7.2 建议</w:t>
      </w:r>
      <w:bookmarkEnd w:id="80"/>
    </w:p>
    <w:p>
      <w:pPr>
        <w:ind w:firstLine="560"/>
        <w:rPr>
          <w:rFonts w:cs="Times New Roman"/>
          <w:lang w:val="zh-TW"/>
        </w:rPr>
      </w:pPr>
      <w:r>
        <w:rPr>
          <w:rFonts w:cs="Times New Roman"/>
          <w:lang w:val="zh-TW"/>
        </w:rPr>
        <w:t>（1）尽快落实河湖管理范围界桩、标示牌的设计、埋设和管理，按照《广东省河湖及水利工程界桩、标示牌技术标准》（粤水建管函</w:t>
      </w:r>
      <w:r>
        <w:rPr>
          <w:rFonts w:cs="Times New Roman"/>
          <w:color w:val="000000" w:themeColor="text1"/>
          <w:szCs w:val="20"/>
          <w14:textFill>
            <w14:solidFill>
              <w14:schemeClr w14:val="tx1"/>
            </w14:solidFill>
          </w14:textFill>
        </w:rPr>
        <w:t>〔2016〕1292号</w:t>
      </w:r>
      <w:r>
        <w:rPr>
          <w:rFonts w:cs="Times New Roman"/>
          <w:lang w:val="zh-TW"/>
        </w:rPr>
        <w:t>）有关要求执行。</w:t>
      </w:r>
    </w:p>
    <w:p>
      <w:pPr>
        <w:ind w:firstLine="560"/>
        <w:rPr>
          <w:rFonts w:cs="Times New Roman"/>
          <w:lang w:val="zh-TW"/>
        </w:rPr>
      </w:pPr>
      <w:r>
        <w:rPr>
          <w:rFonts w:cs="Times New Roman"/>
          <w:lang w:val="zh-TW"/>
        </w:rPr>
        <w:t>（</w:t>
      </w:r>
      <w:r>
        <w:rPr>
          <w:rFonts w:eastAsia="PMingLiU" w:cs="Times New Roman"/>
          <w:lang w:val="zh-TW"/>
        </w:rPr>
        <w:t>2</w:t>
      </w:r>
      <w:r>
        <w:rPr>
          <w:rFonts w:cs="Times New Roman"/>
          <w:lang w:val="zh-TW"/>
        </w:rPr>
        <w:t>）加强河道管理范围边界、界桩和标识牌的维护管理工作，并尽快建立和完善河湖分级管理、分级保护的责任制度，形成由政府领导、主管部门牵头、相关部门负责的工作机制。</w:t>
      </w:r>
    </w:p>
    <w:p>
      <w:pPr>
        <w:ind w:firstLine="560"/>
        <w:rPr>
          <w:rFonts w:cs="Times New Roman"/>
          <w:lang w:val="zh-TW"/>
        </w:rPr>
      </w:pPr>
      <w:r>
        <w:rPr>
          <w:rFonts w:cs="Times New Roman"/>
          <w:lang w:val="zh-TW"/>
        </w:rPr>
        <w:t>（3）进一步加强部门合作，积极探索多部门协作共推机制。重点加强水利部与交通运输部、公安部、国土资源部等部门的合作，充分发挥各相关部门行政监管效力，形成涉河行为的监管和打击合力。</w:t>
      </w:r>
    </w:p>
    <w:p>
      <w:pPr>
        <w:ind w:firstLine="560"/>
        <w:rPr>
          <w:rFonts w:cs="Times New Roman"/>
        </w:rPr>
      </w:pPr>
    </w:p>
    <w:p>
      <w:pPr>
        <w:ind w:firstLine="560"/>
        <w:rPr>
          <w:rFonts w:cs="Times New Roman"/>
        </w:rPr>
        <w:sectPr>
          <w:pgSz w:w="11906" w:h="16838"/>
          <w:pgMar w:top="1440" w:right="1418" w:bottom="1440" w:left="1418" w:header="851" w:footer="992" w:gutter="0"/>
          <w:cols w:space="720" w:num="1"/>
          <w:docGrid w:type="lines" w:linePitch="312" w:charSpace="0"/>
        </w:sectPr>
      </w:pPr>
    </w:p>
    <w:p>
      <w:pPr>
        <w:keepNext/>
        <w:keepLines/>
        <w:spacing w:before="120" w:after="120"/>
        <w:ind w:firstLine="199" w:firstLineChars="62"/>
        <w:jc w:val="left"/>
        <w:textAlignment w:val="baseline"/>
        <w:outlineLvl w:val="0"/>
        <w:rPr>
          <w:rFonts w:cs="Times New Roman"/>
          <w:b/>
          <w:kern w:val="44"/>
          <w:sz w:val="32"/>
          <w:szCs w:val="20"/>
        </w:rPr>
      </w:pPr>
      <w:bookmarkStart w:id="81" w:name="_Toc56103727"/>
      <w:r>
        <w:rPr>
          <w:rFonts w:cs="Times New Roman"/>
          <w:b/>
          <w:kern w:val="44"/>
          <w:sz w:val="32"/>
          <w:szCs w:val="20"/>
        </w:rPr>
        <w:t xml:space="preserve">附表 </w:t>
      </w:r>
      <w:r>
        <w:rPr>
          <w:rFonts w:hint="eastAsia" w:cs="Times New Roman"/>
          <w:b/>
          <w:kern w:val="44"/>
          <w:sz w:val="32"/>
          <w:szCs w:val="20"/>
        </w:rPr>
        <w:t>鳌江（港仔溪）</w:t>
      </w:r>
      <w:r>
        <w:rPr>
          <w:rFonts w:cs="Times New Roman"/>
          <w:b/>
          <w:kern w:val="44"/>
          <w:sz w:val="32"/>
          <w:szCs w:val="20"/>
        </w:rPr>
        <w:t>控制点坐标及划界标准</w:t>
      </w:r>
      <w:bookmarkEnd w:id="81"/>
    </w:p>
    <w:tbl>
      <w:tblPr>
        <w:tblStyle w:val="27"/>
        <w:tblW w:w="5000" w:type="pct"/>
        <w:jc w:val="center"/>
        <w:tblLayout w:type="fixed"/>
        <w:tblCellMar>
          <w:top w:w="0" w:type="dxa"/>
          <w:left w:w="0" w:type="dxa"/>
          <w:bottom w:w="0" w:type="dxa"/>
          <w:right w:w="0" w:type="dxa"/>
        </w:tblCellMar>
      </w:tblPr>
      <w:tblGrid>
        <w:gridCol w:w="1557"/>
        <w:gridCol w:w="710"/>
        <w:gridCol w:w="1137"/>
        <w:gridCol w:w="1701"/>
        <w:gridCol w:w="1706"/>
        <w:gridCol w:w="1137"/>
        <w:gridCol w:w="2554"/>
        <w:gridCol w:w="1419"/>
        <w:gridCol w:w="1137"/>
        <w:gridCol w:w="910"/>
      </w:tblGrid>
      <w:tr>
        <w:tblPrEx>
          <w:tblCellMar>
            <w:top w:w="0" w:type="dxa"/>
            <w:left w:w="0" w:type="dxa"/>
            <w:bottom w:w="0" w:type="dxa"/>
            <w:right w:w="0" w:type="dxa"/>
          </w:tblCellMar>
        </w:tblPrEx>
        <w:trPr>
          <w:trHeight w:val="270" w:hRule="atLeast"/>
          <w:tblHeader/>
          <w:jc w:val="center"/>
        </w:trPr>
        <w:tc>
          <w:tcPr>
            <w:tcW w:w="55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河道（段）编号</w:t>
            </w:r>
          </w:p>
        </w:tc>
        <w:tc>
          <w:tcPr>
            <w:tcW w:w="254"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岸别</w:t>
            </w:r>
          </w:p>
        </w:tc>
        <w:tc>
          <w:tcPr>
            <w:tcW w:w="407"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防洪标准</w:t>
            </w:r>
          </w:p>
          <w:p>
            <w:pPr>
              <w:widowControl/>
              <w:spacing w:line="240" w:lineRule="auto"/>
              <w:ind w:firstLine="0" w:firstLineChars="0"/>
              <w:jc w:val="center"/>
              <w:rPr>
                <w:rFonts w:cs="Times New Roman"/>
                <w:kern w:val="0"/>
                <w:sz w:val="21"/>
                <w:szCs w:val="21"/>
              </w:rPr>
            </w:pPr>
            <w:r>
              <w:rPr>
                <w:rFonts w:cs="Times New Roman"/>
                <w:kern w:val="0"/>
                <w:sz w:val="21"/>
                <w:szCs w:val="21"/>
              </w:rPr>
              <w:t>（年一遇）</w:t>
            </w:r>
          </w:p>
        </w:tc>
        <w:tc>
          <w:tcPr>
            <w:tcW w:w="1220"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控制点坐标</w:t>
            </w:r>
          </w:p>
        </w:tc>
        <w:tc>
          <w:tcPr>
            <w:tcW w:w="1321"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河道管理范围线（有堤防）</w:t>
            </w:r>
          </w:p>
        </w:tc>
        <w:tc>
          <w:tcPr>
            <w:tcW w:w="915"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河道管理范围线（无堤防）</w:t>
            </w:r>
          </w:p>
        </w:tc>
        <w:tc>
          <w:tcPr>
            <w:tcW w:w="326" w:type="pct"/>
            <w:vMerge w:val="restar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划定标准</w:t>
            </w:r>
          </w:p>
          <w:p>
            <w:pPr>
              <w:widowControl/>
              <w:spacing w:line="240" w:lineRule="auto"/>
              <w:ind w:firstLine="0" w:firstLineChars="0"/>
              <w:jc w:val="center"/>
              <w:rPr>
                <w:rFonts w:cs="Times New Roman"/>
                <w:kern w:val="0"/>
                <w:sz w:val="21"/>
                <w:szCs w:val="21"/>
              </w:rPr>
            </w:pPr>
            <w:r>
              <w:rPr>
                <w:rFonts w:cs="Times New Roman"/>
                <w:kern w:val="0"/>
                <w:sz w:val="21"/>
                <w:szCs w:val="21"/>
              </w:rPr>
              <w:t>类别编号</w:t>
            </w:r>
          </w:p>
        </w:tc>
      </w:tr>
      <w:tr>
        <w:tblPrEx>
          <w:tblCellMar>
            <w:top w:w="0" w:type="dxa"/>
            <w:left w:w="0" w:type="dxa"/>
            <w:bottom w:w="0" w:type="dxa"/>
            <w:right w:w="0" w:type="dxa"/>
          </w:tblCellMar>
        </w:tblPrEx>
        <w:trPr>
          <w:trHeight w:val="270" w:hRule="atLeast"/>
          <w:tblHeader/>
          <w:jc w:val="center"/>
        </w:trPr>
        <w:tc>
          <w:tcPr>
            <w:tcW w:w="557"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254"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407"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x</w:t>
            </w:r>
          </w:p>
        </w:tc>
        <w:tc>
          <w:tcPr>
            <w:tcW w:w="61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y</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基准线外延（m）</w:t>
            </w:r>
          </w:p>
        </w:tc>
        <w:tc>
          <w:tcPr>
            <w:tcW w:w="91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其他标准</w:t>
            </w:r>
          </w:p>
        </w:tc>
        <w:tc>
          <w:tcPr>
            <w:tcW w:w="50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设计洪水位（m）</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最高洪水位（m）</w:t>
            </w:r>
          </w:p>
        </w:tc>
        <w:tc>
          <w:tcPr>
            <w:tcW w:w="326" w:type="pct"/>
            <w:vMerge w:val="continue"/>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698208.3775</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2546882.135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23.12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698124.6119</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2546716.218</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22.66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698009.9344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2546592.791</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22.21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698027.6318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2546463.011</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21.75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GZXY5</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698049.0007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2546432.562</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GZXY6</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698149.6472</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2546353.771</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GZXY7</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698245.5814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2546189.179</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GZXY8</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698265.577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2546045.473</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GZXY9</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698260.5839</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2545996.625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19.46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GZXY10</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698331.9474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2545825.336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19.01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GZXY11</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698290.3461</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2545660.736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18.55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698245.4567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2545482.972</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18.09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698283.321</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2545304.74</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17.64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698392.7928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2545167.84</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17.18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GZXY15</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698552.511</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2545128.864</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16.72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GZXY16</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698548.6228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2544981.447</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16.27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GZXY17</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698514.0363</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2544803.279</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15.81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GZXY18</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698554.48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2544665.022</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15.35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GZXY19</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698575.5277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2544627.665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GZXY20</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698697.3024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2544534.245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GZXY21</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698612.9775</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2544363.694</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698618.2011</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2544334.167</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698571.6138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2544172.965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698598.1261</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2544049.145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GZXY25</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698619.2641</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2543998.589</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GZXY26</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698798.2514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2543997.568</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GZXY27</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698897.8054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2543837.378</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GZXY28</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699058.8297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2543790.333</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GZXY29</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699124.1196</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2543705.01</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GZXY30</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699121.2263</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2543533.394</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GZXY31</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699176.7839</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2543374.046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GZXY32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699202.7087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2543391.365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GZXY33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699284.528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2543279.319</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8.50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GZXY34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右岸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699401.2731</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2543152.639</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8.04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w:t>
            </w:r>
          </w:p>
        </w:tc>
        <w:tc>
          <w:tcPr>
            <w:tcW w:w="25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698248.9789</w:t>
            </w:r>
          </w:p>
        </w:tc>
        <w:tc>
          <w:tcPr>
            <w:tcW w:w="61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2546880.88</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698236.3799</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2546751.984</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698185.8852</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2546706.846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22.26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698041.656</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2546607.461</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21.83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GZXZ5</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698061.7789</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2546488.016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21.40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GZXZ6</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698101.3007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2546452.496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GZXZ7</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698209.0497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2546348.876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GZXZ8</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698295.1916</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2546175.337</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GZXZ9</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698336.7518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2545989.566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GZXZ10</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698424.1038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2545826.02</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GZXZ11</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698433.9403</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2545720.795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698380.6303</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2545671.407</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18.38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698293.8665</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2545506.734</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17.95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698355.9482</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2545364.611</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17.52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GZXZ15</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698437.4387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2545198.103</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17.09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GZXZ16</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698600.1874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2545219.389</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16.66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GZXZ17</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698664.6416</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2545088.245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16.23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GZXZ18</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698630.1687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2544941.856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GZXZ19</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698604.3564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2544785.248</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GZXZ20</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698575.1112</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2544725.478</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GZXZ21</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698650.5399</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2544671.507</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698740.413</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2544568.288</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698653.9134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2544398.593</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698635.4816</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2544201.775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GZXZ25</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698649.1644</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2544058.063</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按护岸结构边界线为起算线外延10m标准进行划界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D-6</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GZXZ26</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698678.3177</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2544053.775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GZXZ27</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698840.1018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2544025.87</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GZXZ28</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698936.6525</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2543862.906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GZXZ29</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698995.2063</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2543904.142</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GZXZ30</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699150.2615</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2543839.475</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GZXZ31</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699168.9898</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2543663.326</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GZXZ32</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699229.5316</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2543576.511</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GZXZ33</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699287.3392</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2543470.938</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不设防河段，以现状岸线外延10m标准进行划界</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E</w:t>
            </w:r>
          </w:p>
        </w:tc>
      </w:tr>
      <w:tr>
        <w:tblPrEx>
          <w:tblCellMar>
            <w:top w:w="0" w:type="dxa"/>
            <w:left w:w="0" w:type="dxa"/>
            <w:bottom w:w="0" w:type="dxa"/>
            <w:right w:w="0" w:type="dxa"/>
          </w:tblCellMar>
        </w:tblPrEx>
        <w:trPr>
          <w:trHeight w:val="270" w:hRule="atLeast"/>
          <w:jc w:val="center"/>
        </w:trPr>
        <w:tc>
          <w:tcPr>
            <w:tcW w:w="55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GZXZ34</w:t>
            </w:r>
          </w:p>
        </w:tc>
        <w:tc>
          <w:tcPr>
            <w:tcW w:w="25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左岸</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5</w:t>
            </w:r>
          </w:p>
        </w:tc>
        <w:tc>
          <w:tcPr>
            <w:tcW w:w="60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699298.4856</w:t>
            </w:r>
          </w:p>
        </w:tc>
        <w:tc>
          <w:tcPr>
            <w:tcW w:w="61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2543431.072</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8.90 </w:t>
            </w:r>
          </w:p>
        </w:tc>
        <w:tc>
          <w:tcPr>
            <w:tcW w:w="4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GZXZ35</w:t>
            </w:r>
          </w:p>
        </w:tc>
        <w:tc>
          <w:tcPr>
            <w:tcW w:w="25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左岸</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5</w:t>
            </w:r>
          </w:p>
        </w:tc>
        <w:tc>
          <w:tcPr>
            <w:tcW w:w="60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699439.0293</w:t>
            </w:r>
          </w:p>
        </w:tc>
        <w:tc>
          <w:tcPr>
            <w:tcW w:w="61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2543318.76</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8.47 </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r>
        <w:tblPrEx>
          <w:tblCellMar>
            <w:top w:w="0" w:type="dxa"/>
            <w:left w:w="0" w:type="dxa"/>
            <w:bottom w:w="0" w:type="dxa"/>
            <w:right w:w="0" w:type="dxa"/>
          </w:tblCellMar>
        </w:tblPrEx>
        <w:trPr>
          <w:trHeight w:val="270" w:hRule="atLeast"/>
          <w:jc w:val="center"/>
        </w:trPr>
        <w:tc>
          <w:tcPr>
            <w:tcW w:w="55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GZXZ36</w:t>
            </w:r>
          </w:p>
        </w:tc>
        <w:tc>
          <w:tcPr>
            <w:tcW w:w="25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左岸</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5</w:t>
            </w:r>
          </w:p>
        </w:tc>
        <w:tc>
          <w:tcPr>
            <w:tcW w:w="60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699481.0996</w:t>
            </w:r>
          </w:p>
        </w:tc>
        <w:tc>
          <w:tcPr>
            <w:tcW w:w="61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sz w:val="22"/>
              </w:rPr>
            </w:pPr>
            <w:r>
              <w:rPr>
                <w:rFonts w:hint="eastAsia"/>
                <w:color w:val="000000"/>
                <w:sz w:val="22"/>
              </w:rPr>
              <w:t>2543328.284</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91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50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xml:space="preserve">8.04 </w:t>
            </w:r>
          </w:p>
        </w:tc>
        <w:tc>
          <w:tcPr>
            <w:tcW w:w="407"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　</w:t>
            </w:r>
          </w:p>
        </w:tc>
        <w:tc>
          <w:tcPr>
            <w:tcW w:w="326"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kern w:val="0"/>
                <w:sz w:val="21"/>
                <w:szCs w:val="21"/>
              </w:rPr>
            </w:pPr>
            <w:r>
              <w:rPr>
                <w:rFonts w:hint="eastAsia"/>
                <w:color w:val="000000"/>
                <w:sz w:val="22"/>
              </w:rPr>
              <w:t>B-2</w:t>
            </w:r>
          </w:p>
        </w:tc>
      </w:tr>
    </w:tbl>
    <w:p>
      <w:pPr>
        <w:keepNext/>
        <w:keepLines/>
        <w:spacing w:before="120" w:after="120"/>
        <w:ind w:firstLine="0" w:firstLineChars="0"/>
        <w:jc w:val="left"/>
        <w:textAlignment w:val="baseline"/>
        <w:outlineLvl w:val="0"/>
        <w:rPr>
          <w:rFonts w:cs="Times New Roman"/>
          <w:kern w:val="0"/>
          <w:sz w:val="21"/>
          <w:szCs w:val="21"/>
        </w:rPr>
      </w:pPr>
    </w:p>
    <w:sectPr>
      <w:pgSz w:w="16838" w:h="11906" w:orient="landscape"/>
      <w:pgMar w:top="1418" w:right="1440" w:bottom="1418" w:left="1440" w:header="851" w:footer="992"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MingLiU">
    <w:panose1 w:val="02020509000000000000"/>
    <w:charset w:val="88"/>
    <w:family w:val="modern"/>
    <w:pitch w:val="default"/>
    <w:sig w:usb0="A00002FF" w:usb1="28CFFCFA" w:usb2="00000016" w:usb3="00000000" w:csb0="00100001" w:csb1="00000000"/>
  </w:font>
  <w:font w:name="PMingLiU">
    <w:panose1 w:val="02020500000000000000"/>
    <w:charset w:val="88"/>
    <w:family w:val="roman"/>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4986498"/>
      <w:docPartObj>
        <w:docPartGallery w:val="autotext"/>
      </w:docPartObj>
    </w:sdtPr>
    <w:sdtContent>
      <w:p>
        <w:pPr>
          <w:pStyle w:val="16"/>
          <w:ind w:firstLine="360"/>
          <w:jc w:val="center"/>
        </w:pPr>
        <w:r>
          <w:fldChar w:fldCharType="begin"/>
        </w:r>
        <w:r>
          <w:instrText xml:space="preserve">PAGE   \* MERGEFORMAT</w:instrText>
        </w:r>
        <w:r>
          <w:fldChar w:fldCharType="separate"/>
        </w:r>
        <w:r>
          <w:rPr>
            <w:lang w:val="zh-CN"/>
          </w:rPr>
          <w:t>IV</w:t>
        </w:r>
        <w:r>
          <w:fldChar w:fldCharType="end"/>
        </w:r>
      </w:p>
    </w:sdtContent>
  </w:sdt>
  <w:p>
    <w:pPr>
      <w:pStyle w:val="1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6944492"/>
      <w:docPartObj>
        <w:docPartGallery w:val="autotext"/>
      </w:docPartObj>
    </w:sdtPr>
    <w:sdtContent>
      <w:p>
        <w:pPr>
          <w:pStyle w:val="16"/>
          <w:ind w:firstLine="360"/>
          <w:jc w:val="center"/>
        </w:pPr>
        <w:r>
          <w:fldChar w:fldCharType="begin"/>
        </w:r>
        <w:r>
          <w:instrText xml:space="preserve">PAGE   \* MERGEFORMAT</w:instrText>
        </w:r>
        <w:r>
          <w:fldChar w:fldCharType="separate"/>
        </w:r>
        <w:r>
          <w:rPr>
            <w:lang w:val="zh-CN"/>
          </w:rPr>
          <w:t>24</w:t>
        </w:r>
        <w:r>
          <w:fldChar w:fldCharType="end"/>
        </w:r>
      </w:p>
    </w:sdtContent>
  </w:sdt>
  <w:p>
    <w:pPr>
      <w:pStyle w:val="1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62E"/>
    <w:multiLevelType w:val="multilevel"/>
    <w:tmpl w:val="062C762E"/>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EFC5447"/>
    <w:multiLevelType w:val="multilevel"/>
    <w:tmpl w:val="1EFC5447"/>
    <w:lvl w:ilvl="0" w:tentative="0">
      <w:start w:val="1"/>
      <w:numFmt w:val="decimal"/>
      <w:pStyle w:val="114"/>
      <w:lvlText w:val="（%1）"/>
      <w:lvlJc w:val="left"/>
      <w:pPr>
        <w:ind w:left="1280" w:hanging="720"/>
      </w:pPr>
      <w:rPr>
        <w:rFonts w:hint="default" w:cs="Times New Roman"/>
        <w:color w:val="000000" w:themeColor="text1"/>
        <w14:textFill>
          <w14:solidFill>
            <w14:schemeClr w14:val="tx1"/>
          </w14:solidFill>
        </w14:textFill>
      </w:rPr>
    </w:lvl>
    <w:lvl w:ilvl="1" w:tentative="0">
      <w:start w:val="1"/>
      <w:numFmt w:val="lowerLetter"/>
      <w:pStyle w:val="115"/>
      <w:lvlText w:val="%2)"/>
      <w:lvlJc w:val="left"/>
      <w:pPr>
        <w:ind w:left="1400" w:hanging="420"/>
      </w:pPr>
    </w:lvl>
    <w:lvl w:ilvl="2" w:tentative="0">
      <w:start w:val="1"/>
      <w:numFmt w:val="lowerRoman"/>
      <w:pStyle w:val="116"/>
      <w:lvlText w:val="%3."/>
      <w:lvlJc w:val="right"/>
      <w:pPr>
        <w:ind w:left="1820" w:hanging="420"/>
      </w:pPr>
    </w:lvl>
    <w:lvl w:ilvl="3" w:tentative="0">
      <w:start w:val="1"/>
      <w:numFmt w:val="decimal"/>
      <w:pStyle w:val="111"/>
      <w:lvlText w:val="%4."/>
      <w:lvlJc w:val="left"/>
      <w:pPr>
        <w:ind w:left="2240" w:hanging="420"/>
      </w:pPr>
    </w:lvl>
    <w:lvl w:ilvl="4" w:tentative="0">
      <w:start w:val="1"/>
      <w:numFmt w:val="lowerLetter"/>
      <w:pStyle w:val="113"/>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408F5EB1"/>
    <w:multiLevelType w:val="multilevel"/>
    <w:tmpl w:val="408F5EB1"/>
    <w:lvl w:ilvl="0" w:tentative="0">
      <w:start w:val="1"/>
      <w:numFmt w:val="japaneseCounting"/>
      <w:lvlText w:val="（%1）"/>
      <w:lvlJc w:val="left"/>
      <w:pPr>
        <w:ind w:left="1400" w:hanging="84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D4"/>
    <w:rsid w:val="00000AB2"/>
    <w:rsid w:val="00004BE3"/>
    <w:rsid w:val="00005210"/>
    <w:rsid w:val="00007A9B"/>
    <w:rsid w:val="00013D00"/>
    <w:rsid w:val="00013F36"/>
    <w:rsid w:val="00016118"/>
    <w:rsid w:val="000163BE"/>
    <w:rsid w:val="00017253"/>
    <w:rsid w:val="000222AB"/>
    <w:rsid w:val="000231E0"/>
    <w:rsid w:val="00023E97"/>
    <w:rsid w:val="000246A6"/>
    <w:rsid w:val="00026A3C"/>
    <w:rsid w:val="00026CC0"/>
    <w:rsid w:val="00027261"/>
    <w:rsid w:val="00031A7F"/>
    <w:rsid w:val="0003311C"/>
    <w:rsid w:val="000337A4"/>
    <w:rsid w:val="00034CD1"/>
    <w:rsid w:val="00040681"/>
    <w:rsid w:val="000409B7"/>
    <w:rsid w:val="00040E4C"/>
    <w:rsid w:val="000419A9"/>
    <w:rsid w:val="00042173"/>
    <w:rsid w:val="00043D50"/>
    <w:rsid w:val="0004499C"/>
    <w:rsid w:val="00051CFE"/>
    <w:rsid w:val="00056BC2"/>
    <w:rsid w:val="00056DE7"/>
    <w:rsid w:val="0006003A"/>
    <w:rsid w:val="0006031C"/>
    <w:rsid w:val="00061FD0"/>
    <w:rsid w:val="00062AF1"/>
    <w:rsid w:val="000661F0"/>
    <w:rsid w:val="000669D5"/>
    <w:rsid w:val="000707C2"/>
    <w:rsid w:val="00074774"/>
    <w:rsid w:val="00075CB7"/>
    <w:rsid w:val="000771FF"/>
    <w:rsid w:val="0008047E"/>
    <w:rsid w:val="00082EB5"/>
    <w:rsid w:val="000839AD"/>
    <w:rsid w:val="000851DE"/>
    <w:rsid w:val="00092971"/>
    <w:rsid w:val="000931B4"/>
    <w:rsid w:val="000945EE"/>
    <w:rsid w:val="000969B6"/>
    <w:rsid w:val="00097088"/>
    <w:rsid w:val="000A01DD"/>
    <w:rsid w:val="000A1EB6"/>
    <w:rsid w:val="000A3329"/>
    <w:rsid w:val="000A4E4B"/>
    <w:rsid w:val="000A6410"/>
    <w:rsid w:val="000B09A0"/>
    <w:rsid w:val="000B0BF8"/>
    <w:rsid w:val="000B3323"/>
    <w:rsid w:val="000B338D"/>
    <w:rsid w:val="000B4185"/>
    <w:rsid w:val="000B5EA0"/>
    <w:rsid w:val="000B6170"/>
    <w:rsid w:val="000B7835"/>
    <w:rsid w:val="000C0073"/>
    <w:rsid w:val="000C3320"/>
    <w:rsid w:val="000C3DFD"/>
    <w:rsid w:val="000C63D8"/>
    <w:rsid w:val="000C651E"/>
    <w:rsid w:val="000C6AF7"/>
    <w:rsid w:val="000D05BA"/>
    <w:rsid w:val="000D4A29"/>
    <w:rsid w:val="000D658F"/>
    <w:rsid w:val="000D71E3"/>
    <w:rsid w:val="000D7BAD"/>
    <w:rsid w:val="000E1731"/>
    <w:rsid w:val="000E357E"/>
    <w:rsid w:val="000E3E88"/>
    <w:rsid w:val="000E4AEF"/>
    <w:rsid w:val="000F0980"/>
    <w:rsid w:val="000F0AD9"/>
    <w:rsid w:val="000F1357"/>
    <w:rsid w:val="000F1575"/>
    <w:rsid w:val="000F1801"/>
    <w:rsid w:val="000F201F"/>
    <w:rsid w:val="000F20B8"/>
    <w:rsid w:val="000F23BE"/>
    <w:rsid w:val="000F4D6C"/>
    <w:rsid w:val="000F5EFB"/>
    <w:rsid w:val="000F7CB4"/>
    <w:rsid w:val="00103779"/>
    <w:rsid w:val="00105ADB"/>
    <w:rsid w:val="0010613F"/>
    <w:rsid w:val="00106184"/>
    <w:rsid w:val="001072C5"/>
    <w:rsid w:val="00110F6A"/>
    <w:rsid w:val="001112C9"/>
    <w:rsid w:val="00111DE6"/>
    <w:rsid w:val="00111EDD"/>
    <w:rsid w:val="001133B5"/>
    <w:rsid w:val="00113A97"/>
    <w:rsid w:val="0011455C"/>
    <w:rsid w:val="00115AFE"/>
    <w:rsid w:val="001175D9"/>
    <w:rsid w:val="00117C5E"/>
    <w:rsid w:val="001203C1"/>
    <w:rsid w:val="00120CDF"/>
    <w:rsid w:val="001214C2"/>
    <w:rsid w:val="00121A08"/>
    <w:rsid w:val="00122FA2"/>
    <w:rsid w:val="0012427F"/>
    <w:rsid w:val="001247A5"/>
    <w:rsid w:val="001279FC"/>
    <w:rsid w:val="001304C1"/>
    <w:rsid w:val="00130EF2"/>
    <w:rsid w:val="0013185F"/>
    <w:rsid w:val="00133B29"/>
    <w:rsid w:val="001352AD"/>
    <w:rsid w:val="00137975"/>
    <w:rsid w:val="0014019D"/>
    <w:rsid w:val="00141943"/>
    <w:rsid w:val="00141A94"/>
    <w:rsid w:val="001421C8"/>
    <w:rsid w:val="00145328"/>
    <w:rsid w:val="00147698"/>
    <w:rsid w:val="0015168C"/>
    <w:rsid w:val="0015180C"/>
    <w:rsid w:val="0015204A"/>
    <w:rsid w:val="00152AEC"/>
    <w:rsid w:val="00152D36"/>
    <w:rsid w:val="001537A6"/>
    <w:rsid w:val="00153B79"/>
    <w:rsid w:val="00153FF7"/>
    <w:rsid w:val="00156C6E"/>
    <w:rsid w:val="00164586"/>
    <w:rsid w:val="00165456"/>
    <w:rsid w:val="001657BB"/>
    <w:rsid w:val="0017112F"/>
    <w:rsid w:val="00174110"/>
    <w:rsid w:val="0017694B"/>
    <w:rsid w:val="00177406"/>
    <w:rsid w:val="00180264"/>
    <w:rsid w:val="0018109D"/>
    <w:rsid w:val="001814E2"/>
    <w:rsid w:val="00181E26"/>
    <w:rsid w:val="00181EE7"/>
    <w:rsid w:val="00183578"/>
    <w:rsid w:val="00184A80"/>
    <w:rsid w:val="0018507D"/>
    <w:rsid w:val="00186B12"/>
    <w:rsid w:val="00187087"/>
    <w:rsid w:val="001900C7"/>
    <w:rsid w:val="001929A8"/>
    <w:rsid w:val="001945E8"/>
    <w:rsid w:val="00195AE9"/>
    <w:rsid w:val="00196735"/>
    <w:rsid w:val="00196918"/>
    <w:rsid w:val="00196A38"/>
    <w:rsid w:val="00196E2E"/>
    <w:rsid w:val="001A1B26"/>
    <w:rsid w:val="001A3DE5"/>
    <w:rsid w:val="001A4188"/>
    <w:rsid w:val="001A4782"/>
    <w:rsid w:val="001B231D"/>
    <w:rsid w:val="001B40FE"/>
    <w:rsid w:val="001B6E56"/>
    <w:rsid w:val="001B70DA"/>
    <w:rsid w:val="001C046E"/>
    <w:rsid w:val="001C3878"/>
    <w:rsid w:val="001C5FC8"/>
    <w:rsid w:val="001D1A81"/>
    <w:rsid w:val="001D272C"/>
    <w:rsid w:val="001D3D1B"/>
    <w:rsid w:val="001D6F69"/>
    <w:rsid w:val="001D746F"/>
    <w:rsid w:val="001E04BD"/>
    <w:rsid w:val="001E412F"/>
    <w:rsid w:val="001E519D"/>
    <w:rsid w:val="001E5214"/>
    <w:rsid w:val="001E5512"/>
    <w:rsid w:val="001E784C"/>
    <w:rsid w:val="001E7A82"/>
    <w:rsid w:val="001F042F"/>
    <w:rsid w:val="001F1F54"/>
    <w:rsid w:val="001F27BE"/>
    <w:rsid w:val="001F27E7"/>
    <w:rsid w:val="001F500F"/>
    <w:rsid w:val="001F5A1F"/>
    <w:rsid w:val="001F63C5"/>
    <w:rsid w:val="001F6CA5"/>
    <w:rsid w:val="001F7370"/>
    <w:rsid w:val="00200795"/>
    <w:rsid w:val="00202C88"/>
    <w:rsid w:val="0020553C"/>
    <w:rsid w:val="002104F1"/>
    <w:rsid w:val="00210AE2"/>
    <w:rsid w:val="0021158E"/>
    <w:rsid w:val="002143BD"/>
    <w:rsid w:val="002146DE"/>
    <w:rsid w:val="0021653F"/>
    <w:rsid w:val="002179AC"/>
    <w:rsid w:val="0022119B"/>
    <w:rsid w:val="00224ACA"/>
    <w:rsid w:val="002266A5"/>
    <w:rsid w:val="00227321"/>
    <w:rsid w:val="00227B2C"/>
    <w:rsid w:val="00240CCF"/>
    <w:rsid w:val="00240F23"/>
    <w:rsid w:val="00242F8B"/>
    <w:rsid w:val="002443E6"/>
    <w:rsid w:val="00244DEF"/>
    <w:rsid w:val="002470BE"/>
    <w:rsid w:val="00247B0F"/>
    <w:rsid w:val="00251BC1"/>
    <w:rsid w:val="00255065"/>
    <w:rsid w:val="00256489"/>
    <w:rsid w:val="0025663D"/>
    <w:rsid w:val="002570C3"/>
    <w:rsid w:val="0025736C"/>
    <w:rsid w:val="00260FD3"/>
    <w:rsid w:val="00264CF7"/>
    <w:rsid w:val="0026526E"/>
    <w:rsid w:val="00267F64"/>
    <w:rsid w:val="00274BD8"/>
    <w:rsid w:val="00277BD2"/>
    <w:rsid w:val="00277D27"/>
    <w:rsid w:val="0028172C"/>
    <w:rsid w:val="00282F52"/>
    <w:rsid w:val="002851CA"/>
    <w:rsid w:val="0028536B"/>
    <w:rsid w:val="00285F0E"/>
    <w:rsid w:val="0028722B"/>
    <w:rsid w:val="0029114C"/>
    <w:rsid w:val="0029287D"/>
    <w:rsid w:val="00294269"/>
    <w:rsid w:val="0029659F"/>
    <w:rsid w:val="002969BD"/>
    <w:rsid w:val="00297F70"/>
    <w:rsid w:val="002A0B28"/>
    <w:rsid w:val="002A178D"/>
    <w:rsid w:val="002A384D"/>
    <w:rsid w:val="002A3DC0"/>
    <w:rsid w:val="002A4CF7"/>
    <w:rsid w:val="002A77BC"/>
    <w:rsid w:val="002A7F04"/>
    <w:rsid w:val="002B0DAC"/>
    <w:rsid w:val="002B6D4F"/>
    <w:rsid w:val="002C02DE"/>
    <w:rsid w:val="002C1747"/>
    <w:rsid w:val="002C3814"/>
    <w:rsid w:val="002C3F10"/>
    <w:rsid w:val="002C54C0"/>
    <w:rsid w:val="002C66F5"/>
    <w:rsid w:val="002C6B0D"/>
    <w:rsid w:val="002D021D"/>
    <w:rsid w:val="002D0992"/>
    <w:rsid w:val="002D0F46"/>
    <w:rsid w:val="002D1D5E"/>
    <w:rsid w:val="002D6073"/>
    <w:rsid w:val="002D7942"/>
    <w:rsid w:val="002E12CE"/>
    <w:rsid w:val="002E249D"/>
    <w:rsid w:val="002E2601"/>
    <w:rsid w:val="002E493A"/>
    <w:rsid w:val="002E718D"/>
    <w:rsid w:val="002E7ECC"/>
    <w:rsid w:val="002F24A3"/>
    <w:rsid w:val="002F438F"/>
    <w:rsid w:val="002F43E2"/>
    <w:rsid w:val="002F44BD"/>
    <w:rsid w:val="002F57A8"/>
    <w:rsid w:val="002F57EB"/>
    <w:rsid w:val="002F5A14"/>
    <w:rsid w:val="002F5C4B"/>
    <w:rsid w:val="002F7777"/>
    <w:rsid w:val="003003B7"/>
    <w:rsid w:val="003003DA"/>
    <w:rsid w:val="00301254"/>
    <w:rsid w:val="00303AC6"/>
    <w:rsid w:val="00305507"/>
    <w:rsid w:val="00306960"/>
    <w:rsid w:val="00307136"/>
    <w:rsid w:val="00310255"/>
    <w:rsid w:val="0031025E"/>
    <w:rsid w:val="00310385"/>
    <w:rsid w:val="0031196B"/>
    <w:rsid w:val="00311D77"/>
    <w:rsid w:val="00311F08"/>
    <w:rsid w:val="003124CA"/>
    <w:rsid w:val="003158E1"/>
    <w:rsid w:val="00316884"/>
    <w:rsid w:val="003221A9"/>
    <w:rsid w:val="00323C4B"/>
    <w:rsid w:val="00323E09"/>
    <w:rsid w:val="00324B0B"/>
    <w:rsid w:val="003258DE"/>
    <w:rsid w:val="00325E89"/>
    <w:rsid w:val="00326E72"/>
    <w:rsid w:val="003273D4"/>
    <w:rsid w:val="0033015C"/>
    <w:rsid w:val="003304F3"/>
    <w:rsid w:val="003321F6"/>
    <w:rsid w:val="003324FA"/>
    <w:rsid w:val="00333D24"/>
    <w:rsid w:val="00333DFE"/>
    <w:rsid w:val="003341E3"/>
    <w:rsid w:val="00336902"/>
    <w:rsid w:val="00336A6F"/>
    <w:rsid w:val="00342722"/>
    <w:rsid w:val="003429E8"/>
    <w:rsid w:val="00345B2F"/>
    <w:rsid w:val="00345BDB"/>
    <w:rsid w:val="0034650B"/>
    <w:rsid w:val="00352446"/>
    <w:rsid w:val="00360D7B"/>
    <w:rsid w:val="00362E91"/>
    <w:rsid w:val="003642DF"/>
    <w:rsid w:val="00364FCA"/>
    <w:rsid w:val="0036581B"/>
    <w:rsid w:val="00366CD5"/>
    <w:rsid w:val="003709EA"/>
    <w:rsid w:val="00375216"/>
    <w:rsid w:val="00376F06"/>
    <w:rsid w:val="00383918"/>
    <w:rsid w:val="0038422D"/>
    <w:rsid w:val="00385B2E"/>
    <w:rsid w:val="00386062"/>
    <w:rsid w:val="00386541"/>
    <w:rsid w:val="0039037B"/>
    <w:rsid w:val="003914AA"/>
    <w:rsid w:val="003915B6"/>
    <w:rsid w:val="0039348B"/>
    <w:rsid w:val="003960FE"/>
    <w:rsid w:val="003A1278"/>
    <w:rsid w:val="003A3360"/>
    <w:rsid w:val="003B151D"/>
    <w:rsid w:val="003B1C42"/>
    <w:rsid w:val="003B2B0A"/>
    <w:rsid w:val="003B3B5D"/>
    <w:rsid w:val="003B4363"/>
    <w:rsid w:val="003B4A88"/>
    <w:rsid w:val="003C06D4"/>
    <w:rsid w:val="003C1E1E"/>
    <w:rsid w:val="003C5B01"/>
    <w:rsid w:val="003C6B5D"/>
    <w:rsid w:val="003D0878"/>
    <w:rsid w:val="003D1AE9"/>
    <w:rsid w:val="003D2A34"/>
    <w:rsid w:val="003D3182"/>
    <w:rsid w:val="003D5FF0"/>
    <w:rsid w:val="003D6A62"/>
    <w:rsid w:val="003D6F91"/>
    <w:rsid w:val="003D755C"/>
    <w:rsid w:val="003D77BE"/>
    <w:rsid w:val="003E741C"/>
    <w:rsid w:val="003F0AE7"/>
    <w:rsid w:val="003F147E"/>
    <w:rsid w:val="003F3B19"/>
    <w:rsid w:val="003F5C4A"/>
    <w:rsid w:val="003F6000"/>
    <w:rsid w:val="004035EF"/>
    <w:rsid w:val="00403CB7"/>
    <w:rsid w:val="00405A62"/>
    <w:rsid w:val="004071B1"/>
    <w:rsid w:val="004075A5"/>
    <w:rsid w:val="00410502"/>
    <w:rsid w:val="00410BB1"/>
    <w:rsid w:val="00416743"/>
    <w:rsid w:val="00417271"/>
    <w:rsid w:val="00417868"/>
    <w:rsid w:val="00417CB2"/>
    <w:rsid w:val="004207E9"/>
    <w:rsid w:val="00420C1B"/>
    <w:rsid w:val="00427A76"/>
    <w:rsid w:val="00427B48"/>
    <w:rsid w:val="00430B60"/>
    <w:rsid w:val="0043115C"/>
    <w:rsid w:val="004337D7"/>
    <w:rsid w:val="004340C3"/>
    <w:rsid w:val="00434D66"/>
    <w:rsid w:val="00435131"/>
    <w:rsid w:val="00436769"/>
    <w:rsid w:val="004413FD"/>
    <w:rsid w:val="00442E89"/>
    <w:rsid w:val="004448E6"/>
    <w:rsid w:val="004511E2"/>
    <w:rsid w:val="00457311"/>
    <w:rsid w:val="00461B00"/>
    <w:rsid w:val="00462377"/>
    <w:rsid w:val="00462880"/>
    <w:rsid w:val="0046317F"/>
    <w:rsid w:val="00465810"/>
    <w:rsid w:val="00465F1F"/>
    <w:rsid w:val="00470C7B"/>
    <w:rsid w:val="004750C5"/>
    <w:rsid w:val="00475B0C"/>
    <w:rsid w:val="00477746"/>
    <w:rsid w:val="00481F36"/>
    <w:rsid w:val="0048256A"/>
    <w:rsid w:val="004829D3"/>
    <w:rsid w:val="00484D44"/>
    <w:rsid w:val="00487CCE"/>
    <w:rsid w:val="00490DA8"/>
    <w:rsid w:val="00492950"/>
    <w:rsid w:val="00495FF2"/>
    <w:rsid w:val="00496C36"/>
    <w:rsid w:val="00496CF7"/>
    <w:rsid w:val="004A04A9"/>
    <w:rsid w:val="004A475A"/>
    <w:rsid w:val="004A5716"/>
    <w:rsid w:val="004A607D"/>
    <w:rsid w:val="004B0F47"/>
    <w:rsid w:val="004B3DE4"/>
    <w:rsid w:val="004B446B"/>
    <w:rsid w:val="004B6F17"/>
    <w:rsid w:val="004B71DE"/>
    <w:rsid w:val="004B71E8"/>
    <w:rsid w:val="004B7D19"/>
    <w:rsid w:val="004C6710"/>
    <w:rsid w:val="004C72E0"/>
    <w:rsid w:val="004D0308"/>
    <w:rsid w:val="004D1BFE"/>
    <w:rsid w:val="004D1C7D"/>
    <w:rsid w:val="004D1CE3"/>
    <w:rsid w:val="004D35E2"/>
    <w:rsid w:val="004E2911"/>
    <w:rsid w:val="004E7591"/>
    <w:rsid w:val="004F35C5"/>
    <w:rsid w:val="004F3BE8"/>
    <w:rsid w:val="004F3F15"/>
    <w:rsid w:val="004F46B7"/>
    <w:rsid w:val="004F4A3A"/>
    <w:rsid w:val="004F4E67"/>
    <w:rsid w:val="004F6973"/>
    <w:rsid w:val="004F7A51"/>
    <w:rsid w:val="00500FC6"/>
    <w:rsid w:val="00505817"/>
    <w:rsid w:val="00506575"/>
    <w:rsid w:val="0050662D"/>
    <w:rsid w:val="00506DCD"/>
    <w:rsid w:val="00510FD2"/>
    <w:rsid w:val="005115E8"/>
    <w:rsid w:val="00512D45"/>
    <w:rsid w:val="0051407A"/>
    <w:rsid w:val="00515E4D"/>
    <w:rsid w:val="00516FAE"/>
    <w:rsid w:val="00517727"/>
    <w:rsid w:val="00517B5F"/>
    <w:rsid w:val="00521CBB"/>
    <w:rsid w:val="00523631"/>
    <w:rsid w:val="00524FD9"/>
    <w:rsid w:val="0053174C"/>
    <w:rsid w:val="00531FA4"/>
    <w:rsid w:val="00532F7C"/>
    <w:rsid w:val="00535885"/>
    <w:rsid w:val="00542BA3"/>
    <w:rsid w:val="00543B82"/>
    <w:rsid w:val="00544223"/>
    <w:rsid w:val="00544C34"/>
    <w:rsid w:val="0054580E"/>
    <w:rsid w:val="005458EE"/>
    <w:rsid w:val="00546DE3"/>
    <w:rsid w:val="00547F6F"/>
    <w:rsid w:val="00552FF0"/>
    <w:rsid w:val="00553318"/>
    <w:rsid w:val="0055588A"/>
    <w:rsid w:val="00556C2D"/>
    <w:rsid w:val="0056337D"/>
    <w:rsid w:val="005637A9"/>
    <w:rsid w:val="00563AB5"/>
    <w:rsid w:val="00564326"/>
    <w:rsid w:val="005656AB"/>
    <w:rsid w:val="0057295A"/>
    <w:rsid w:val="00587FDC"/>
    <w:rsid w:val="005908BD"/>
    <w:rsid w:val="00590FA0"/>
    <w:rsid w:val="005937D7"/>
    <w:rsid w:val="00594BB0"/>
    <w:rsid w:val="005953FF"/>
    <w:rsid w:val="005955CC"/>
    <w:rsid w:val="00595B8C"/>
    <w:rsid w:val="0059727F"/>
    <w:rsid w:val="005A14D6"/>
    <w:rsid w:val="005A1AA7"/>
    <w:rsid w:val="005A3493"/>
    <w:rsid w:val="005A3A79"/>
    <w:rsid w:val="005A3D65"/>
    <w:rsid w:val="005A5B2F"/>
    <w:rsid w:val="005A65D9"/>
    <w:rsid w:val="005A7A87"/>
    <w:rsid w:val="005B3DAE"/>
    <w:rsid w:val="005C1BAF"/>
    <w:rsid w:val="005C22AE"/>
    <w:rsid w:val="005C45DF"/>
    <w:rsid w:val="005C4C5F"/>
    <w:rsid w:val="005C5363"/>
    <w:rsid w:val="005C64BA"/>
    <w:rsid w:val="005D328C"/>
    <w:rsid w:val="005D35D4"/>
    <w:rsid w:val="005D5523"/>
    <w:rsid w:val="005D7D4C"/>
    <w:rsid w:val="005E143C"/>
    <w:rsid w:val="005E1A42"/>
    <w:rsid w:val="005E1A64"/>
    <w:rsid w:val="005E4DD4"/>
    <w:rsid w:val="005E703D"/>
    <w:rsid w:val="005F2603"/>
    <w:rsid w:val="005F47AE"/>
    <w:rsid w:val="005F4BDD"/>
    <w:rsid w:val="005F539C"/>
    <w:rsid w:val="005F5C59"/>
    <w:rsid w:val="005F6D8E"/>
    <w:rsid w:val="005F7700"/>
    <w:rsid w:val="0060152A"/>
    <w:rsid w:val="0060468F"/>
    <w:rsid w:val="0061165F"/>
    <w:rsid w:val="00611984"/>
    <w:rsid w:val="006126FA"/>
    <w:rsid w:val="006146D1"/>
    <w:rsid w:val="00615E9A"/>
    <w:rsid w:val="00617E98"/>
    <w:rsid w:val="00620C04"/>
    <w:rsid w:val="006230DF"/>
    <w:rsid w:val="00623FB8"/>
    <w:rsid w:val="0062563B"/>
    <w:rsid w:val="00625F83"/>
    <w:rsid w:val="00626632"/>
    <w:rsid w:val="00630085"/>
    <w:rsid w:val="006307F5"/>
    <w:rsid w:val="006321AB"/>
    <w:rsid w:val="0063295A"/>
    <w:rsid w:val="00635BFB"/>
    <w:rsid w:val="00635DA7"/>
    <w:rsid w:val="006360A5"/>
    <w:rsid w:val="00637B82"/>
    <w:rsid w:val="00640BDD"/>
    <w:rsid w:val="0064362B"/>
    <w:rsid w:val="00645581"/>
    <w:rsid w:val="0064659D"/>
    <w:rsid w:val="0065172E"/>
    <w:rsid w:val="006525D0"/>
    <w:rsid w:val="0065276A"/>
    <w:rsid w:val="00652CF8"/>
    <w:rsid w:val="006531E0"/>
    <w:rsid w:val="00654535"/>
    <w:rsid w:val="00655479"/>
    <w:rsid w:val="00665021"/>
    <w:rsid w:val="00665C00"/>
    <w:rsid w:val="00665C9E"/>
    <w:rsid w:val="0066607A"/>
    <w:rsid w:val="006660FD"/>
    <w:rsid w:val="00675361"/>
    <w:rsid w:val="006753D1"/>
    <w:rsid w:val="0067610E"/>
    <w:rsid w:val="006778CA"/>
    <w:rsid w:val="00677CF9"/>
    <w:rsid w:val="00680B95"/>
    <w:rsid w:val="006817B5"/>
    <w:rsid w:val="00681E10"/>
    <w:rsid w:val="00684F2D"/>
    <w:rsid w:val="006854A1"/>
    <w:rsid w:val="00685C1A"/>
    <w:rsid w:val="00686E72"/>
    <w:rsid w:val="0069076D"/>
    <w:rsid w:val="00691A9F"/>
    <w:rsid w:val="00691D11"/>
    <w:rsid w:val="0069209C"/>
    <w:rsid w:val="00692923"/>
    <w:rsid w:val="0069298B"/>
    <w:rsid w:val="006936A3"/>
    <w:rsid w:val="00696101"/>
    <w:rsid w:val="006963D5"/>
    <w:rsid w:val="006A01A1"/>
    <w:rsid w:val="006A1052"/>
    <w:rsid w:val="006A264D"/>
    <w:rsid w:val="006A5DB4"/>
    <w:rsid w:val="006A72F2"/>
    <w:rsid w:val="006B3BA8"/>
    <w:rsid w:val="006B646F"/>
    <w:rsid w:val="006C26F3"/>
    <w:rsid w:val="006C5322"/>
    <w:rsid w:val="006C59CD"/>
    <w:rsid w:val="006C73A5"/>
    <w:rsid w:val="006D026E"/>
    <w:rsid w:val="006D1815"/>
    <w:rsid w:val="006D1FC7"/>
    <w:rsid w:val="006D2FE7"/>
    <w:rsid w:val="006D31D7"/>
    <w:rsid w:val="006D3C41"/>
    <w:rsid w:val="006D4DB1"/>
    <w:rsid w:val="006D7A44"/>
    <w:rsid w:val="006E602A"/>
    <w:rsid w:val="006E6671"/>
    <w:rsid w:val="006E7300"/>
    <w:rsid w:val="006E7912"/>
    <w:rsid w:val="006F064B"/>
    <w:rsid w:val="006F10BF"/>
    <w:rsid w:val="006F2071"/>
    <w:rsid w:val="006F3709"/>
    <w:rsid w:val="006F4AA5"/>
    <w:rsid w:val="006F5FF8"/>
    <w:rsid w:val="00700B82"/>
    <w:rsid w:val="00701785"/>
    <w:rsid w:val="00702D62"/>
    <w:rsid w:val="00705442"/>
    <w:rsid w:val="0070603E"/>
    <w:rsid w:val="007060D4"/>
    <w:rsid w:val="00706355"/>
    <w:rsid w:val="00706C9A"/>
    <w:rsid w:val="0070786B"/>
    <w:rsid w:val="00707D20"/>
    <w:rsid w:val="00720D9C"/>
    <w:rsid w:val="00721292"/>
    <w:rsid w:val="007221F6"/>
    <w:rsid w:val="0072286B"/>
    <w:rsid w:val="0072310B"/>
    <w:rsid w:val="00730396"/>
    <w:rsid w:val="00731B42"/>
    <w:rsid w:val="00731CF3"/>
    <w:rsid w:val="00734755"/>
    <w:rsid w:val="00735648"/>
    <w:rsid w:val="00735EF9"/>
    <w:rsid w:val="00737446"/>
    <w:rsid w:val="00737FCD"/>
    <w:rsid w:val="00740A1A"/>
    <w:rsid w:val="00742BD1"/>
    <w:rsid w:val="00744758"/>
    <w:rsid w:val="00745346"/>
    <w:rsid w:val="00745391"/>
    <w:rsid w:val="00750722"/>
    <w:rsid w:val="00750D96"/>
    <w:rsid w:val="00753AB6"/>
    <w:rsid w:val="00753BB0"/>
    <w:rsid w:val="00755885"/>
    <w:rsid w:val="007562C0"/>
    <w:rsid w:val="00760BC1"/>
    <w:rsid w:val="007617E3"/>
    <w:rsid w:val="00761BE1"/>
    <w:rsid w:val="0076260A"/>
    <w:rsid w:val="00767047"/>
    <w:rsid w:val="007709AC"/>
    <w:rsid w:val="007711BE"/>
    <w:rsid w:val="007714B4"/>
    <w:rsid w:val="00771AC6"/>
    <w:rsid w:val="00772B5B"/>
    <w:rsid w:val="00774B36"/>
    <w:rsid w:val="00774CFD"/>
    <w:rsid w:val="00781A29"/>
    <w:rsid w:val="00782439"/>
    <w:rsid w:val="00784AF7"/>
    <w:rsid w:val="007850BA"/>
    <w:rsid w:val="00785826"/>
    <w:rsid w:val="00790BAE"/>
    <w:rsid w:val="0079314E"/>
    <w:rsid w:val="00796018"/>
    <w:rsid w:val="007960C5"/>
    <w:rsid w:val="00796E47"/>
    <w:rsid w:val="007A2B10"/>
    <w:rsid w:val="007A3A03"/>
    <w:rsid w:val="007B41DB"/>
    <w:rsid w:val="007B61C5"/>
    <w:rsid w:val="007B6487"/>
    <w:rsid w:val="007C15F5"/>
    <w:rsid w:val="007C1A8E"/>
    <w:rsid w:val="007C5632"/>
    <w:rsid w:val="007C6B37"/>
    <w:rsid w:val="007C6C12"/>
    <w:rsid w:val="007D025A"/>
    <w:rsid w:val="007D2581"/>
    <w:rsid w:val="007D4BA5"/>
    <w:rsid w:val="007D6575"/>
    <w:rsid w:val="007D6997"/>
    <w:rsid w:val="007E0376"/>
    <w:rsid w:val="007E21DF"/>
    <w:rsid w:val="007E2382"/>
    <w:rsid w:val="007E2E50"/>
    <w:rsid w:val="007E33C9"/>
    <w:rsid w:val="007E5C5C"/>
    <w:rsid w:val="007F1E75"/>
    <w:rsid w:val="007F228B"/>
    <w:rsid w:val="007F501E"/>
    <w:rsid w:val="0080034F"/>
    <w:rsid w:val="008003E4"/>
    <w:rsid w:val="00800569"/>
    <w:rsid w:val="00802807"/>
    <w:rsid w:val="0080294E"/>
    <w:rsid w:val="00802FA2"/>
    <w:rsid w:val="00803168"/>
    <w:rsid w:val="008041E0"/>
    <w:rsid w:val="00805BFB"/>
    <w:rsid w:val="0080674A"/>
    <w:rsid w:val="00806ECE"/>
    <w:rsid w:val="00810D53"/>
    <w:rsid w:val="00812AE6"/>
    <w:rsid w:val="0081384A"/>
    <w:rsid w:val="0081388C"/>
    <w:rsid w:val="0081422E"/>
    <w:rsid w:val="00820547"/>
    <w:rsid w:val="00821F62"/>
    <w:rsid w:val="008220BF"/>
    <w:rsid w:val="008229F7"/>
    <w:rsid w:val="00824D39"/>
    <w:rsid w:val="008257DC"/>
    <w:rsid w:val="008259E4"/>
    <w:rsid w:val="00826B82"/>
    <w:rsid w:val="00826E44"/>
    <w:rsid w:val="00827810"/>
    <w:rsid w:val="0083334E"/>
    <w:rsid w:val="008337BA"/>
    <w:rsid w:val="00835554"/>
    <w:rsid w:val="00835CF0"/>
    <w:rsid w:val="00835DE4"/>
    <w:rsid w:val="008368F2"/>
    <w:rsid w:val="00836D0D"/>
    <w:rsid w:val="0083707E"/>
    <w:rsid w:val="008406CF"/>
    <w:rsid w:val="008432CF"/>
    <w:rsid w:val="00844ED3"/>
    <w:rsid w:val="00845F10"/>
    <w:rsid w:val="008508E4"/>
    <w:rsid w:val="0085114C"/>
    <w:rsid w:val="0085208D"/>
    <w:rsid w:val="00852B22"/>
    <w:rsid w:val="00852CD0"/>
    <w:rsid w:val="00854319"/>
    <w:rsid w:val="00860361"/>
    <w:rsid w:val="0086188E"/>
    <w:rsid w:val="00861AFB"/>
    <w:rsid w:val="0086228E"/>
    <w:rsid w:val="008624B4"/>
    <w:rsid w:val="00864A06"/>
    <w:rsid w:val="00866A92"/>
    <w:rsid w:val="00870207"/>
    <w:rsid w:val="00874269"/>
    <w:rsid w:val="00874DE3"/>
    <w:rsid w:val="00876265"/>
    <w:rsid w:val="00877360"/>
    <w:rsid w:val="0088151E"/>
    <w:rsid w:val="0088197A"/>
    <w:rsid w:val="00881D65"/>
    <w:rsid w:val="008839B8"/>
    <w:rsid w:val="008849B9"/>
    <w:rsid w:val="0088553D"/>
    <w:rsid w:val="00885BA5"/>
    <w:rsid w:val="00886784"/>
    <w:rsid w:val="00886C0A"/>
    <w:rsid w:val="00886D88"/>
    <w:rsid w:val="00887036"/>
    <w:rsid w:val="00890AF4"/>
    <w:rsid w:val="00890EE4"/>
    <w:rsid w:val="008920BF"/>
    <w:rsid w:val="008945AC"/>
    <w:rsid w:val="008957A9"/>
    <w:rsid w:val="008964EA"/>
    <w:rsid w:val="00897721"/>
    <w:rsid w:val="00897EC9"/>
    <w:rsid w:val="008A00FE"/>
    <w:rsid w:val="008A0F1F"/>
    <w:rsid w:val="008A297A"/>
    <w:rsid w:val="008A4EEE"/>
    <w:rsid w:val="008A7B00"/>
    <w:rsid w:val="008A7FA6"/>
    <w:rsid w:val="008B03C8"/>
    <w:rsid w:val="008B0505"/>
    <w:rsid w:val="008B05FA"/>
    <w:rsid w:val="008B171E"/>
    <w:rsid w:val="008B3A98"/>
    <w:rsid w:val="008B3D03"/>
    <w:rsid w:val="008B43D5"/>
    <w:rsid w:val="008B5A95"/>
    <w:rsid w:val="008B6C24"/>
    <w:rsid w:val="008B7F81"/>
    <w:rsid w:val="008C0582"/>
    <w:rsid w:val="008C1A7B"/>
    <w:rsid w:val="008C1E4B"/>
    <w:rsid w:val="008C2496"/>
    <w:rsid w:val="008C5E00"/>
    <w:rsid w:val="008C6F86"/>
    <w:rsid w:val="008D1223"/>
    <w:rsid w:val="008D16D5"/>
    <w:rsid w:val="008D212B"/>
    <w:rsid w:val="008D2DF9"/>
    <w:rsid w:val="008D3895"/>
    <w:rsid w:val="008D4152"/>
    <w:rsid w:val="008D4486"/>
    <w:rsid w:val="008D456A"/>
    <w:rsid w:val="008D5246"/>
    <w:rsid w:val="008D549D"/>
    <w:rsid w:val="008D58B7"/>
    <w:rsid w:val="008D5EE5"/>
    <w:rsid w:val="008E0737"/>
    <w:rsid w:val="008E0F0D"/>
    <w:rsid w:val="008E4207"/>
    <w:rsid w:val="008E55FC"/>
    <w:rsid w:val="008E6C72"/>
    <w:rsid w:val="008F23E6"/>
    <w:rsid w:val="008F30BA"/>
    <w:rsid w:val="008F3391"/>
    <w:rsid w:val="008F376F"/>
    <w:rsid w:val="00901F8E"/>
    <w:rsid w:val="00902FF0"/>
    <w:rsid w:val="0090321B"/>
    <w:rsid w:val="00904C37"/>
    <w:rsid w:val="00905985"/>
    <w:rsid w:val="009139F2"/>
    <w:rsid w:val="00913ED2"/>
    <w:rsid w:val="009158DE"/>
    <w:rsid w:val="00916017"/>
    <w:rsid w:val="00921F6E"/>
    <w:rsid w:val="009251C5"/>
    <w:rsid w:val="009254AB"/>
    <w:rsid w:val="00925A99"/>
    <w:rsid w:val="00926FFD"/>
    <w:rsid w:val="009275C6"/>
    <w:rsid w:val="00930C5F"/>
    <w:rsid w:val="00932FFD"/>
    <w:rsid w:val="009337C1"/>
    <w:rsid w:val="0093435D"/>
    <w:rsid w:val="009352BC"/>
    <w:rsid w:val="0093533A"/>
    <w:rsid w:val="00935A6E"/>
    <w:rsid w:val="00941529"/>
    <w:rsid w:val="00941736"/>
    <w:rsid w:val="00941E51"/>
    <w:rsid w:val="00943AB3"/>
    <w:rsid w:val="00943EF5"/>
    <w:rsid w:val="00943F0B"/>
    <w:rsid w:val="00944D01"/>
    <w:rsid w:val="00950EB4"/>
    <w:rsid w:val="00951C44"/>
    <w:rsid w:val="00952AA2"/>
    <w:rsid w:val="00956858"/>
    <w:rsid w:val="00960515"/>
    <w:rsid w:val="009638AF"/>
    <w:rsid w:val="0096408E"/>
    <w:rsid w:val="009729A6"/>
    <w:rsid w:val="00975999"/>
    <w:rsid w:val="009809C2"/>
    <w:rsid w:val="0098253E"/>
    <w:rsid w:val="00986984"/>
    <w:rsid w:val="00987257"/>
    <w:rsid w:val="0099025D"/>
    <w:rsid w:val="00990566"/>
    <w:rsid w:val="00991AC1"/>
    <w:rsid w:val="009959D9"/>
    <w:rsid w:val="009959F7"/>
    <w:rsid w:val="00996BB3"/>
    <w:rsid w:val="00997D31"/>
    <w:rsid w:val="009A1E04"/>
    <w:rsid w:val="009A24AA"/>
    <w:rsid w:val="009A25BA"/>
    <w:rsid w:val="009A2686"/>
    <w:rsid w:val="009A2C51"/>
    <w:rsid w:val="009B0024"/>
    <w:rsid w:val="009B0F05"/>
    <w:rsid w:val="009B2254"/>
    <w:rsid w:val="009B76BE"/>
    <w:rsid w:val="009C1C26"/>
    <w:rsid w:val="009C6A64"/>
    <w:rsid w:val="009D1881"/>
    <w:rsid w:val="009D1D75"/>
    <w:rsid w:val="009E1FEF"/>
    <w:rsid w:val="009E5038"/>
    <w:rsid w:val="009E50F6"/>
    <w:rsid w:val="009E5AF9"/>
    <w:rsid w:val="009E6CC0"/>
    <w:rsid w:val="009E7B36"/>
    <w:rsid w:val="009F1761"/>
    <w:rsid w:val="009F3568"/>
    <w:rsid w:val="009F5355"/>
    <w:rsid w:val="00A008B7"/>
    <w:rsid w:val="00A02373"/>
    <w:rsid w:val="00A036F0"/>
    <w:rsid w:val="00A03EEB"/>
    <w:rsid w:val="00A03F22"/>
    <w:rsid w:val="00A04134"/>
    <w:rsid w:val="00A04859"/>
    <w:rsid w:val="00A04913"/>
    <w:rsid w:val="00A07755"/>
    <w:rsid w:val="00A106B6"/>
    <w:rsid w:val="00A1082E"/>
    <w:rsid w:val="00A11DA2"/>
    <w:rsid w:val="00A14D90"/>
    <w:rsid w:val="00A16E92"/>
    <w:rsid w:val="00A174AD"/>
    <w:rsid w:val="00A17530"/>
    <w:rsid w:val="00A20462"/>
    <w:rsid w:val="00A22521"/>
    <w:rsid w:val="00A22E52"/>
    <w:rsid w:val="00A23A48"/>
    <w:rsid w:val="00A24451"/>
    <w:rsid w:val="00A255F9"/>
    <w:rsid w:val="00A2711B"/>
    <w:rsid w:val="00A30E1F"/>
    <w:rsid w:val="00A317AA"/>
    <w:rsid w:val="00A31970"/>
    <w:rsid w:val="00A31980"/>
    <w:rsid w:val="00A328A4"/>
    <w:rsid w:val="00A32DA0"/>
    <w:rsid w:val="00A334AF"/>
    <w:rsid w:val="00A33BD6"/>
    <w:rsid w:val="00A34079"/>
    <w:rsid w:val="00A34140"/>
    <w:rsid w:val="00A35544"/>
    <w:rsid w:val="00A36027"/>
    <w:rsid w:val="00A364CA"/>
    <w:rsid w:val="00A36C5B"/>
    <w:rsid w:val="00A40128"/>
    <w:rsid w:val="00A443F3"/>
    <w:rsid w:val="00A4470E"/>
    <w:rsid w:val="00A44988"/>
    <w:rsid w:val="00A45CD5"/>
    <w:rsid w:val="00A47D93"/>
    <w:rsid w:val="00A47EA3"/>
    <w:rsid w:val="00A50D1E"/>
    <w:rsid w:val="00A51886"/>
    <w:rsid w:val="00A547EC"/>
    <w:rsid w:val="00A565E1"/>
    <w:rsid w:val="00A601DF"/>
    <w:rsid w:val="00A60274"/>
    <w:rsid w:val="00A612DF"/>
    <w:rsid w:val="00A62184"/>
    <w:rsid w:val="00A656D6"/>
    <w:rsid w:val="00A65F02"/>
    <w:rsid w:val="00A66C00"/>
    <w:rsid w:val="00A67F6B"/>
    <w:rsid w:val="00A7035A"/>
    <w:rsid w:val="00A72E83"/>
    <w:rsid w:val="00A735B0"/>
    <w:rsid w:val="00A74172"/>
    <w:rsid w:val="00A74974"/>
    <w:rsid w:val="00A759AC"/>
    <w:rsid w:val="00A7718E"/>
    <w:rsid w:val="00A81253"/>
    <w:rsid w:val="00A82782"/>
    <w:rsid w:val="00A8291E"/>
    <w:rsid w:val="00A82D33"/>
    <w:rsid w:val="00A8434F"/>
    <w:rsid w:val="00A84B7F"/>
    <w:rsid w:val="00A85C8A"/>
    <w:rsid w:val="00A86101"/>
    <w:rsid w:val="00A90A40"/>
    <w:rsid w:val="00A90A60"/>
    <w:rsid w:val="00A93E34"/>
    <w:rsid w:val="00A95954"/>
    <w:rsid w:val="00AA1B52"/>
    <w:rsid w:val="00AA313B"/>
    <w:rsid w:val="00AA51DC"/>
    <w:rsid w:val="00AA62F5"/>
    <w:rsid w:val="00AA633E"/>
    <w:rsid w:val="00AA68E8"/>
    <w:rsid w:val="00AA6AAF"/>
    <w:rsid w:val="00AA7CAC"/>
    <w:rsid w:val="00AA7D75"/>
    <w:rsid w:val="00AB1FA0"/>
    <w:rsid w:val="00AB6DE0"/>
    <w:rsid w:val="00AC10A2"/>
    <w:rsid w:val="00AC142F"/>
    <w:rsid w:val="00AC3AA6"/>
    <w:rsid w:val="00AC481F"/>
    <w:rsid w:val="00AC7DA5"/>
    <w:rsid w:val="00AD0EBE"/>
    <w:rsid w:val="00AD174C"/>
    <w:rsid w:val="00AD191D"/>
    <w:rsid w:val="00AD2B5F"/>
    <w:rsid w:val="00AD3FE3"/>
    <w:rsid w:val="00AD596F"/>
    <w:rsid w:val="00AD6972"/>
    <w:rsid w:val="00AD6EC9"/>
    <w:rsid w:val="00AD72BE"/>
    <w:rsid w:val="00AD7DAE"/>
    <w:rsid w:val="00AE0C76"/>
    <w:rsid w:val="00AE2FF5"/>
    <w:rsid w:val="00AE3EA1"/>
    <w:rsid w:val="00AE43FC"/>
    <w:rsid w:val="00AE4AD7"/>
    <w:rsid w:val="00AE5079"/>
    <w:rsid w:val="00AE6922"/>
    <w:rsid w:val="00AE71F3"/>
    <w:rsid w:val="00AF01FA"/>
    <w:rsid w:val="00AF24A4"/>
    <w:rsid w:val="00AF4563"/>
    <w:rsid w:val="00AF5923"/>
    <w:rsid w:val="00B0118C"/>
    <w:rsid w:val="00B01B0B"/>
    <w:rsid w:val="00B0398B"/>
    <w:rsid w:val="00B0640F"/>
    <w:rsid w:val="00B07116"/>
    <w:rsid w:val="00B12028"/>
    <w:rsid w:val="00B12069"/>
    <w:rsid w:val="00B121F6"/>
    <w:rsid w:val="00B13677"/>
    <w:rsid w:val="00B20495"/>
    <w:rsid w:val="00B218A0"/>
    <w:rsid w:val="00B21A93"/>
    <w:rsid w:val="00B21EF1"/>
    <w:rsid w:val="00B22B4E"/>
    <w:rsid w:val="00B22EB0"/>
    <w:rsid w:val="00B26776"/>
    <w:rsid w:val="00B314C1"/>
    <w:rsid w:val="00B348AF"/>
    <w:rsid w:val="00B3607B"/>
    <w:rsid w:val="00B3679A"/>
    <w:rsid w:val="00B4079A"/>
    <w:rsid w:val="00B41845"/>
    <w:rsid w:val="00B43CD8"/>
    <w:rsid w:val="00B43FD3"/>
    <w:rsid w:val="00B445E9"/>
    <w:rsid w:val="00B44BDB"/>
    <w:rsid w:val="00B464CA"/>
    <w:rsid w:val="00B46A40"/>
    <w:rsid w:val="00B47145"/>
    <w:rsid w:val="00B47379"/>
    <w:rsid w:val="00B537C1"/>
    <w:rsid w:val="00B53A8C"/>
    <w:rsid w:val="00B54897"/>
    <w:rsid w:val="00B54F3F"/>
    <w:rsid w:val="00B5663D"/>
    <w:rsid w:val="00B5666B"/>
    <w:rsid w:val="00B60226"/>
    <w:rsid w:val="00B60C35"/>
    <w:rsid w:val="00B60F36"/>
    <w:rsid w:val="00B6199A"/>
    <w:rsid w:val="00B6304E"/>
    <w:rsid w:val="00B63E4C"/>
    <w:rsid w:val="00B65435"/>
    <w:rsid w:val="00B65C5E"/>
    <w:rsid w:val="00B67720"/>
    <w:rsid w:val="00B67750"/>
    <w:rsid w:val="00B72369"/>
    <w:rsid w:val="00B730B0"/>
    <w:rsid w:val="00B7384E"/>
    <w:rsid w:val="00B74ABD"/>
    <w:rsid w:val="00B76854"/>
    <w:rsid w:val="00B81BF8"/>
    <w:rsid w:val="00B83A73"/>
    <w:rsid w:val="00B86722"/>
    <w:rsid w:val="00B86EB7"/>
    <w:rsid w:val="00B87E1B"/>
    <w:rsid w:val="00B903E2"/>
    <w:rsid w:val="00B92050"/>
    <w:rsid w:val="00B9222A"/>
    <w:rsid w:val="00B92DEA"/>
    <w:rsid w:val="00B95397"/>
    <w:rsid w:val="00B963A3"/>
    <w:rsid w:val="00B96FDC"/>
    <w:rsid w:val="00B973A1"/>
    <w:rsid w:val="00B97D11"/>
    <w:rsid w:val="00BA1EEF"/>
    <w:rsid w:val="00BA2366"/>
    <w:rsid w:val="00BA2C45"/>
    <w:rsid w:val="00BA3156"/>
    <w:rsid w:val="00BA4C68"/>
    <w:rsid w:val="00BA4D4A"/>
    <w:rsid w:val="00BA6B6D"/>
    <w:rsid w:val="00BA6F6D"/>
    <w:rsid w:val="00BB16A2"/>
    <w:rsid w:val="00BB22EC"/>
    <w:rsid w:val="00BB26E0"/>
    <w:rsid w:val="00BB2F1C"/>
    <w:rsid w:val="00BB3074"/>
    <w:rsid w:val="00BB509B"/>
    <w:rsid w:val="00BB5634"/>
    <w:rsid w:val="00BB6D96"/>
    <w:rsid w:val="00BC1420"/>
    <w:rsid w:val="00BC2083"/>
    <w:rsid w:val="00BC2094"/>
    <w:rsid w:val="00BC2524"/>
    <w:rsid w:val="00BC53AB"/>
    <w:rsid w:val="00BC5BAC"/>
    <w:rsid w:val="00BD7E4E"/>
    <w:rsid w:val="00BE0115"/>
    <w:rsid w:val="00BE0C17"/>
    <w:rsid w:val="00BE2D5F"/>
    <w:rsid w:val="00BE3063"/>
    <w:rsid w:val="00BE4D83"/>
    <w:rsid w:val="00BE52E2"/>
    <w:rsid w:val="00BE5B7C"/>
    <w:rsid w:val="00BE66D6"/>
    <w:rsid w:val="00BF0B15"/>
    <w:rsid w:val="00BF15F0"/>
    <w:rsid w:val="00BF1FE6"/>
    <w:rsid w:val="00BF365E"/>
    <w:rsid w:val="00BF4941"/>
    <w:rsid w:val="00BF4C1A"/>
    <w:rsid w:val="00BF692D"/>
    <w:rsid w:val="00BF72AC"/>
    <w:rsid w:val="00BF75EB"/>
    <w:rsid w:val="00BF7A1F"/>
    <w:rsid w:val="00C000F9"/>
    <w:rsid w:val="00C02FDC"/>
    <w:rsid w:val="00C056A0"/>
    <w:rsid w:val="00C06E52"/>
    <w:rsid w:val="00C108DF"/>
    <w:rsid w:val="00C10AA3"/>
    <w:rsid w:val="00C10F79"/>
    <w:rsid w:val="00C14899"/>
    <w:rsid w:val="00C14AFE"/>
    <w:rsid w:val="00C17503"/>
    <w:rsid w:val="00C2119A"/>
    <w:rsid w:val="00C21588"/>
    <w:rsid w:val="00C21C9B"/>
    <w:rsid w:val="00C22685"/>
    <w:rsid w:val="00C240CF"/>
    <w:rsid w:val="00C267EB"/>
    <w:rsid w:val="00C278B6"/>
    <w:rsid w:val="00C303D8"/>
    <w:rsid w:val="00C30EB6"/>
    <w:rsid w:val="00C3109E"/>
    <w:rsid w:val="00C32E21"/>
    <w:rsid w:val="00C36DA1"/>
    <w:rsid w:val="00C40BDE"/>
    <w:rsid w:val="00C4343B"/>
    <w:rsid w:val="00C436D2"/>
    <w:rsid w:val="00C44D0A"/>
    <w:rsid w:val="00C45330"/>
    <w:rsid w:val="00C50F84"/>
    <w:rsid w:val="00C514B9"/>
    <w:rsid w:val="00C5407E"/>
    <w:rsid w:val="00C548DF"/>
    <w:rsid w:val="00C55506"/>
    <w:rsid w:val="00C55845"/>
    <w:rsid w:val="00C55BA5"/>
    <w:rsid w:val="00C5682D"/>
    <w:rsid w:val="00C56C7D"/>
    <w:rsid w:val="00C579B6"/>
    <w:rsid w:val="00C610D9"/>
    <w:rsid w:val="00C612C4"/>
    <w:rsid w:val="00C6231D"/>
    <w:rsid w:val="00C62547"/>
    <w:rsid w:val="00C62B0D"/>
    <w:rsid w:val="00C656F9"/>
    <w:rsid w:val="00C675D7"/>
    <w:rsid w:val="00C67E6C"/>
    <w:rsid w:val="00C70B98"/>
    <w:rsid w:val="00C70E8B"/>
    <w:rsid w:val="00C7167F"/>
    <w:rsid w:val="00C8089B"/>
    <w:rsid w:val="00C81E72"/>
    <w:rsid w:val="00C84964"/>
    <w:rsid w:val="00C86438"/>
    <w:rsid w:val="00C9393D"/>
    <w:rsid w:val="00C952C6"/>
    <w:rsid w:val="00C95D17"/>
    <w:rsid w:val="00C96AE9"/>
    <w:rsid w:val="00C97705"/>
    <w:rsid w:val="00CA020D"/>
    <w:rsid w:val="00CA052D"/>
    <w:rsid w:val="00CA05FE"/>
    <w:rsid w:val="00CA2FBC"/>
    <w:rsid w:val="00CB2224"/>
    <w:rsid w:val="00CB3A16"/>
    <w:rsid w:val="00CB3A5A"/>
    <w:rsid w:val="00CB549E"/>
    <w:rsid w:val="00CB584A"/>
    <w:rsid w:val="00CC0707"/>
    <w:rsid w:val="00CC22B4"/>
    <w:rsid w:val="00CC305B"/>
    <w:rsid w:val="00CC6A34"/>
    <w:rsid w:val="00CD0016"/>
    <w:rsid w:val="00CD52F7"/>
    <w:rsid w:val="00CD537F"/>
    <w:rsid w:val="00CD7494"/>
    <w:rsid w:val="00CE1826"/>
    <w:rsid w:val="00CE275B"/>
    <w:rsid w:val="00CE3304"/>
    <w:rsid w:val="00CE342F"/>
    <w:rsid w:val="00CE3C12"/>
    <w:rsid w:val="00CE433B"/>
    <w:rsid w:val="00CE4453"/>
    <w:rsid w:val="00CE4B46"/>
    <w:rsid w:val="00CE638E"/>
    <w:rsid w:val="00CF100C"/>
    <w:rsid w:val="00CF13F9"/>
    <w:rsid w:val="00CF1AF6"/>
    <w:rsid w:val="00D00768"/>
    <w:rsid w:val="00D02B18"/>
    <w:rsid w:val="00D032D3"/>
    <w:rsid w:val="00D101FB"/>
    <w:rsid w:val="00D10BC1"/>
    <w:rsid w:val="00D12D54"/>
    <w:rsid w:val="00D16ACF"/>
    <w:rsid w:val="00D16B5F"/>
    <w:rsid w:val="00D1702B"/>
    <w:rsid w:val="00D17DA2"/>
    <w:rsid w:val="00D20B31"/>
    <w:rsid w:val="00D21FD8"/>
    <w:rsid w:val="00D2212F"/>
    <w:rsid w:val="00D22247"/>
    <w:rsid w:val="00D23B94"/>
    <w:rsid w:val="00D3045A"/>
    <w:rsid w:val="00D304E0"/>
    <w:rsid w:val="00D31581"/>
    <w:rsid w:val="00D320D1"/>
    <w:rsid w:val="00D33D31"/>
    <w:rsid w:val="00D346B4"/>
    <w:rsid w:val="00D34EA5"/>
    <w:rsid w:val="00D35BDD"/>
    <w:rsid w:val="00D363F9"/>
    <w:rsid w:val="00D36447"/>
    <w:rsid w:val="00D3699E"/>
    <w:rsid w:val="00D37986"/>
    <w:rsid w:val="00D401B9"/>
    <w:rsid w:val="00D42CD6"/>
    <w:rsid w:val="00D44993"/>
    <w:rsid w:val="00D45A10"/>
    <w:rsid w:val="00D45D4A"/>
    <w:rsid w:val="00D47502"/>
    <w:rsid w:val="00D47EBF"/>
    <w:rsid w:val="00D52E98"/>
    <w:rsid w:val="00D52F53"/>
    <w:rsid w:val="00D55984"/>
    <w:rsid w:val="00D55CAA"/>
    <w:rsid w:val="00D55D95"/>
    <w:rsid w:val="00D57482"/>
    <w:rsid w:val="00D614F9"/>
    <w:rsid w:val="00D62E71"/>
    <w:rsid w:val="00D63D2D"/>
    <w:rsid w:val="00D67444"/>
    <w:rsid w:val="00D7097E"/>
    <w:rsid w:val="00D728F6"/>
    <w:rsid w:val="00D74C9C"/>
    <w:rsid w:val="00D74D16"/>
    <w:rsid w:val="00D752C1"/>
    <w:rsid w:val="00D75B42"/>
    <w:rsid w:val="00D76BBA"/>
    <w:rsid w:val="00D76E95"/>
    <w:rsid w:val="00D80F51"/>
    <w:rsid w:val="00D81567"/>
    <w:rsid w:val="00D81DAF"/>
    <w:rsid w:val="00D822CF"/>
    <w:rsid w:val="00D8280D"/>
    <w:rsid w:val="00D82D27"/>
    <w:rsid w:val="00D84984"/>
    <w:rsid w:val="00D86AD9"/>
    <w:rsid w:val="00D87BE6"/>
    <w:rsid w:val="00D87D99"/>
    <w:rsid w:val="00D87F5D"/>
    <w:rsid w:val="00D90162"/>
    <w:rsid w:val="00D901B5"/>
    <w:rsid w:val="00D91B72"/>
    <w:rsid w:val="00D93D27"/>
    <w:rsid w:val="00D95B39"/>
    <w:rsid w:val="00D95CE0"/>
    <w:rsid w:val="00DA2E2E"/>
    <w:rsid w:val="00DA39C8"/>
    <w:rsid w:val="00DA41D8"/>
    <w:rsid w:val="00DA4C4F"/>
    <w:rsid w:val="00DA4CA5"/>
    <w:rsid w:val="00DA4F06"/>
    <w:rsid w:val="00DA5B75"/>
    <w:rsid w:val="00DA5F43"/>
    <w:rsid w:val="00DA76A1"/>
    <w:rsid w:val="00DB18C9"/>
    <w:rsid w:val="00DB36F3"/>
    <w:rsid w:val="00DB383C"/>
    <w:rsid w:val="00DB3889"/>
    <w:rsid w:val="00DB38F8"/>
    <w:rsid w:val="00DB4317"/>
    <w:rsid w:val="00DB7657"/>
    <w:rsid w:val="00DC1683"/>
    <w:rsid w:val="00DC1AA1"/>
    <w:rsid w:val="00DC2252"/>
    <w:rsid w:val="00DC2796"/>
    <w:rsid w:val="00DC44B8"/>
    <w:rsid w:val="00DC5465"/>
    <w:rsid w:val="00DC5AA5"/>
    <w:rsid w:val="00DC6857"/>
    <w:rsid w:val="00DC6E8D"/>
    <w:rsid w:val="00DD4109"/>
    <w:rsid w:val="00DD57D5"/>
    <w:rsid w:val="00DD5978"/>
    <w:rsid w:val="00DD6285"/>
    <w:rsid w:val="00DD67AC"/>
    <w:rsid w:val="00DE0B39"/>
    <w:rsid w:val="00DE1426"/>
    <w:rsid w:val="00DE1804"/>
    <w:rsid w:val="00DE1919"/>
    <w:rsid w:val="00DE1B2E"/>
    <w:rsid w:val="00DE1D2C"/>
    <w:rsid w:val="00DE2189"/>
    <w:rsid w:val="00DE3030"/>
    <w:rsid w:val="00DE598E"/>
    <w:rsid w:val="00DF1A1A"/>
    <w:rsid w:val="00DF7593"/>
    <w:rsid w:val="00DF7CB2"/>
    <w:rsid w:val="00E01C3E"/>
    <w:rsid w:val="00E020F1"/>
    <w:rsid w:val="00E024B1"/>
    <w:rsid w:val="00E06030"/>
    <w:rsid w:val="00E10A72"/>
    <w:rsid w:val="00E10E0A"/>
    <w:rsid w:val="00E1199F"/>
    <w:rsid w:val="00E12180"/>
    <w:rsid w:val="00E12C24"/>
    <w:rsid w:val="00E1376E"/>
    <w:rsid w:val="00E140E4"/>
    <w:rsid w:val="00E159AB"/>
    <w:rsid w:val="00E1785C"/>
    <w:rsid w:val="00E208D1"/>
    <w:rsid w:val="00E2416D"/>
    <w:rsid w:val="00E253F2"/>
    <w:rsid w:val="00E26769"/>
    <w:rsid w:val="00E27515"/>
    <w:rsid w:val="00E3319B"/>
    <w:rsid w:val="00E35663"/>
    <w:rsid w:val="00E3692D"/>
    <w:rsid w:val="00E416F1"/>
    <w:rsid w:val="00E430B7"/>
    <w:rsid w:val="00E457FB"/>
    <w:rsid w:val="00E51667"/>
    <w:rsid w:val="00E549BC"/>
    <w:rsid w:val="00E553D5"/>
    <w:rsid w:val="00E5678D"/>
    <w:rsid w:val="00E57684"/>
    <w:rsid w:val="00E60531"/>
    <w:rsid w:val="00E610B1"/>
    <w:rsid w:val="00E610CD"/>
    <w:rsid w:val="00E614B5"/>
    <w:rsid w:val="00E618EE"/>
    <w:rsid w:val="00E62205"/>
    <w:rsid w:val="00E659EA"/>
    <w:rsid w:val="00E66457"/>
    <w:rsid w:val="00E72C69"/>
    <w:rsid w:val="00E72DF3"/>
    <w:rsid w:val="00E75223"/>
    <w:rsid w:val="00E7548B"/>
    <w:rsid w:val="00E80EA2"/>
    <w:rsid w:val="00E83980"/>
    <w:rsid w:val="00E84676"/>
    <w:rsid w:val="00E84E9F"/>
    <w:rsid w:val="00E86E5E"/>
    <w:rsid w:val="00E87648"/>
    <w:rsid w:val="00E907EA"/>
    <w:rsid w:val="00E90B5C"/>
    <w:rsid w:val="00E91771"/>
    <w:rsid w:val="00E94372"/>
    <w:rsid w:val="00EA3794"/>
    <w:rsid w:val="00EA3D84"/>
    <w:rsid w:val="00EA45E5"/>
    <w:rsid w:val="00EA4F4D"/>
    <w:rsid w:val="00EA78FD"/>
    <w:rsid w:val="00EB15F3"/>
    <w:rsid w:val="00EB28CC"/>
    <w:rsid w:val="00EB3175"/>
    <w:rsid w:val="00EC2020"/>
    <w:rsid w:val="00EC2B6F"/>
    <w:rsid w:val="00EC2EE0"/>
    <w:rsid w:val="00EC37A0"/>
    <w:rsid w:val="00EC380B"/>
    <w:rsid w:val="00EC3D6D"/>
    <w:rsid w:val="00EC482D"/>
    <w:rsid w:val="00EC5276"/>
    <w:rsid w:val="00EC72E4"/>
    <w:rsid w:val="00ED05BB"/>
    <w:rsid w:val="00ED1F72"/>
    <w:rsid w:val="00ED272F"/>
    <w:rsid w:val="00ED2BB2"/>
    <w:rsid w:val="00ED40B0"/>
    <w:rsid w:val="00ED51F7"/>
    <w:rsid w:val="00ED524D"/>
    <w:rsid w:val="00ED6740"/>
    <w:rsid w:val="00ED684C"/>
    <w:rsid w:val="00ED724D"/>
    <w:rsid w:val="00ED7B60"/>
    <w:rsid w:val="00EE12EA"/>
    <w:rsid w:val="00EE2BF3"/>
    <w:rsid w:val="00EE306D"/>
    <w:rsid w:val="00EE3B15"/>
    <w:rsid w:val="00EF1913"/>
    <w:rsid w:val="00EF212A"/>
    <w:rsid w:val="00EF3B33"/>
    <w:rsid w:val="00EF3BF7"/>
    <w:rsid w:val="00EF4790"/>
    <w:rsid w:val="00EF4A0C"/>
    <w:rsid w:val="00EF67C9"/>
    <w:rsid w:val="00EF6C5E"/>
    <w:rsid w:val="00EF7861"/>
    <w:rsid w:val="00F005EF"/>
    <w:rsid w:val="00F03330"/>
    <w:rsid w:val="00F0464E"/>
    <w:rsid w:val="00F07764"/>
    <w:rsid w:val="00F10D1D"/>
    <w:rsid w:val="00F122ED"/>
    <w:rsid w:val="00F12AC0"/>
    <w:rsid w:val="00F1527A"/>
    <w:rsid w:val="00F16719"/>
    <w:rsid w:val="00F20DC6"/>
    <w:rsid w:val="00F221F6"/>
    <w:rsid w:val="00F22A61"/>
    <w:rsid w:val="00F23B4C"/>
    <w:rsid w:val="00F25374"/>
    <w:rsid w:val="00F2612E"/>
    <w:rsid w:val="00F27A1F"/>
    <w:rsid w:val="00F31CBE"/>
    <w:rsid w:val="00F31FD3"/>
    <w:rsid w:val="00F37293"/>
    <w:rsid w:val="00F41CC1"/>
    <w:rsid w:val="00F41F20"/>
    <w:rsid w:val="00F43698"/>
    <w:rsid w:val="00F455F5"/>
    <w:rsid w:val="00F5054F"/>
    <w:rsid w:val="00F5108F"/>
    <w:rsid w:val="00F55F6F"/>
    <w:rsid w:val="00F625D8"/>
    <w:rsid w:val="00F64E51"/>
    <w:rsid w:val="00F664BF"/>
    <w:rsid w:val="00F666AC"/>
    <w:rsid w:val="00F7058B"/>
    <w:rsid w:val="00F72511"/>
    <w:rsid w:val="00F72EF5"/>
    <w:rsid w:val="00F733D7"/>
    <w:rsid w:val="00F75CB7"/>
    <w:rsid w:val="00F764C5"/>
    <w:rsid w:val="00F765DE"/>
    <w:rsid w:val="00F775D2"/>
    <w:rsid w:val="00F82381"/>
    <w:rsid w:val="00F823FF"/>
    <w:rsid w:val="00F83421"/>
    <w:rsid w:val="00F86FD6"/>
    <w:rsid w:val="00F91549"/>
    <w:rsid w:val="00F955F6"/>
    <w:rsid w:val="00F971D4"/>
    <w:rsid w:val="00F9740A"/>
    <w:rsid w:val="00F977DD"/>
    <w:rsid w:val="00FA0596"/>
    <w:rsid w:val="00FA4413"/>
    <w:rsid w:val="00FA4555"/>
    <w:rsid w:val="00FA4F3E"/>
    <w:rsid w:val="00FA7895"/>
    <w:rsid w:val="00FB0FB0"/>
    <w:rsid w:val="00FB1ACD"/>
    <w:rsid w:val="00FB1EFB"/>
    <w:rsid w:val="00FB28BE"/>
    <w:rsid w:val="00FB3772"/>
    <w:rsid w:val="00FB51A0"/>
    <w:rsid w:val="00FB6027"/>
    <w:rsid w:val="00FB760B"/>
    <w:rsid w:val="00FB7ABC"/>
    <w:rsid w:val="00FC3407"/>
    <w:rsid w:val="00FC5210"/>
    <w:rsid w:val="00FC5641"/>
    <w:rsid w:val="00FC56B0"/>
    <w:rsid w:val="00FD0E00"/>
    <w:rsid w:val="00FD27BA"/>
    <w:rsid w:val="00FD2CE6"/>
    <w:rsid w:val="00FD3BAC"/>
    <w:rsid w:val="00FD6B99"/>
    <w:rsid w:val="00FD7982"/>
    <w:rsid w:val="00FD79CB"/>
    <w:rsid w:val="00FD79F5"/>
    <w:rsid w:val="00FE0896"/>
    <w:rsid w:val="00FE0A8B"/>
    <w:rsid w:val="00FE0D10"/>
    <w:rsid w:val="00FE15BC"/>
    <w:rsid w:val="00FE2989"/>
    <w:rsid w:val="00FE61EA"/>
    <w:rsid w:val="00FE6F30"/>
    <w:rsid w:val="00FE7776"/>
    <w:rsid w:val="00FE7B6A"/>
    <w:rsid w:val="00FF401A"/>
    <w:rsid w:val="01521EDF"/>
    <w:rsid w:val="23097A6B"/>
    <w:rsid w:val="43D55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8"/>
      <w:szCs w:val="22"/>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1"/>
    <w:qFormat/>
    <w:uiPriority w:val="0"/>
    <w:pPr>
      <w:keepNext/>
      <w:keepLines/>
      <w:spacing w:before="260" w:after="260" w:line="416" w:lineRule="auto"/>
      <w:outlineLvl w:val="2"/>
    </w:pPr>
    <w:rPr>
      <w:rFonts w:cs="Times New Roman"/>
      <w:b/>
      <w:bCs/>
      <w:sz w:val="32"/>
      <w:szCs w:val="32"/>
    </w:rPr>
  </w:style>
  <w:style w:type="paragraph" w:styleId="5">
    <w:name w:val="heading 4"/>
    <w:basedOn w:val="1"/>
    <w:next w:val="1"/>
    <w:link w:val="46"/>
    <w:unhideWhenUsed/>
    <w:qFormat/>
    <w:uiPriority w:val="0"/>
    <w:pPr>
      <w:keepNext/>
      <w:keepLines/>
      <w:spacing w:before="280" w:after="290"/>
      <w:ind w:firstLine="0" w:firstLineChars="0"/>
      <w:outlineLvl w:val="3"/>
    </w:pPr>
    <w:rPr>
      <w:rFonts w:asciiTheme="majorHAnsi" w:hAnsiTheme="majorHAnsi" w:cstheme="majorBidi"/>
      <w:b/>
      <w:bCs/>
      <w:sz w:val="24"/>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98"/>
    <w:qFormat/>
    <w:uiPriority w:val="0"/>
    <w:pPr>
      <w:autoSpaceDE w:val="0"/>
      <w:autoSpaceDN w:val="0"/>
      <w:adjustRightInd w:val="0"/>
      <w:spacing w:line="240" w:lineRule="auto"/>
      <w:ind w:firstLine="567" w:firstLineChars="0"/>
      <w:textAlignment w:val="baseline"/>
    </w:pPr>
    <w:rPr>
      <w:rFonts w:cs="Times New Roman"/>
      <w:kern w:val="0"/>
      <w:szCs w:val="20"/>
    </w:rPr>
  </w:style>
  <w:style w:type="paragraph" w:styleId="7">
    <w:name w:val="caption"/>
    <w:basedOn w:val="1"/>
    <w:next w:val="1"/>
    <w:link w:val="147"/>
    <w:qFormat/>
    <w:uiPriority w:val="35"/>
    <w:pPr>
      <w:spacing w:line="240" w:lineRule="auto"/>
      <w:ind w:firstLine="0" w:firstLineChars="0"/>
    </w:pPr>
    <w:rPr>
      <w:rFonts w:cs="Times New Roman"/>
      <w:b/>
      <w:szCs w:val="24"/>
    </w:rPr>
  </w:style>
  <w:style w:type="paragraph" w:styleId="8">
    <w:name w:val="Document Map"/>
    <w:basedOn w:val="1"/>
    <w:link w:val="83"/>
    <w:unhideWhenUsed/>
    <w:qFormat/>
    <w:uiPriority w:val="0"/>
    <w:pPr>
      <w:spacing w:line="240" w:lineRule="auto"/>
      <w:ind w:firstLine="0" w:firstLineChars="0"/>
    </w:pPr>
    <w:rPr>
      <w:rFonts w:ascii="宋体" w:hAnsi="等线" w:cs="Times New Roman"/>
      <w:sz w:val="18"/>
      <w:szCs w:val="18"/>
    </w:rPr>
  </w:style>
  <w:style w:type="paragraph" w:styleId="9">
    <w:name w:val="annotation text"/>
    <w:basedOn w:val="1"/>
    <w:link w:val="39"/>
    <w:unhideWhenUsed/>
    <w:qFormat/>
    <w:uiPriority w:val="0"/>
    <w:pPr>
      <w:jc w:val="left"/>
    </w:pPr>
  </w:style>
  <w:style w:type="paragraph" w:styleId="10">
    <w:name w:val="Body Text"/>
    <w:basedOn w:val="1"/>
    <w:link w:val="57"/>
    <w:qFormat/>
    <w:uiPriority w:val="0"/>
    <w:pPr>
      <w:widowControl/>
      <w:spacing w:before="100" w:beforeAutospacing="1" w:after="100" w:afterAutospacing="1" w:line="240" w:lineRule="auto"/>
      <w:ind w:firstLine="0" w:firstLineChars="0"/>
      <w:jc w:val="left"/>
    </w:pPr>
    <w:rPr>
      <w:rFonts w:ascii="宋体" w:hAnsi="宋体" w:eastAsia="等线" w:cs="宋体"/>
      <w:kern w:val="0"/>
      <w:sz w:val="24"/>
      <w:szCs w:val="21"/>
    </w:rPr>
  </w:style>
  <w:style w:type="paragraph" w:styleId="11">
    <w:name w:val="Body Text Indent"/>
    <w:basedOn w:val="1"/>
    <w:link w:val="56"/>
    <w:uiPriority w:val="0"/>
    <w:pPr>
      <w:widowControl/>
      <w:spacing w:before="100" w:beforeAutospacing="1" w:after="100" w:afterAutospacing="1" w:line="240" w:lineRule="auto"/>
      <w:ind w:firstLine="0" w:firstLineChars="0"/>
      <w:jc w:val="left"/>
    </w:pPr>
    <w:rPr>
      <w:rFonts w:ascii="宋体" w:hAnsi="宋体" w:eastAsia="等线" w:cs="宋体"/>
      <w:kern w:val="0"/>
      <w:sz w:val="24"/>
      <w:szCs w:val="21"/>
    </w:rPr>
  </w:style>
  <w:style w:type="paragraph" w:styleId="12">
    <w:name w:val="toc 3"/>
    <w:basedOn w:val="1"/>
    <w:next w:val="1"/>
    <w:unhideWhenUsed/>
    <w:qFormat/>
    <w:uiPriority w:val="39"/>
    <w:pPr>
      <w:ind w:left="840" w:leftChars="400"/>
    </w:pPr>
  </w:style>
  <w:style w:type="paragraph" w:styleId="13">
    <w:name w:val="Plain Text"/>
    <w:basedOn w:val="1"/>
    <w:link w:val="65"/>
    <w:qFormat/>
    <w:uiPriority w:val="0"/>
    <w:pPr>
      <w:spacing w:line="240" w:lineRule="auto"/>
      <w:ind w:firstLine="0" w:firstLineChars="0"/>
    </w:pPr>
    <w:rPr>
      <w:rFonts w:ascii="宋体" w:hAnsi="Courier New" w:cs="Courier New" w:eastAsiaTheme="minorEastAsia"/>
      <w:sz w:val="21"/>
      <w:szCs w:val="21"/>
    </w:rPr>
  </w:style>
  <w:style w:type="paragraph" w:styleId="14">
    <w:name w:val="Date"/>
    <w:basedOn w:val="1"/>
    <w:next w:val="1"/>
    <w:link w:val="45"/>
    <w:unhideWhenUsed/>
    <w:qFormat/>
    <w:uiPriority w:val="0"/>
    <w:pPr>
      <w:ind w:left="100" w:leftChars="2500"/>
    </w:pPr>
  </w:style>
  <w:style w:type="paragraph" w:styleId="15">
    <w:name w:val="Balloon Text"/>
    <w:basedOn w:val="1"/>
    <w:link w:val="38"/>
    <w:unhideWhenUsed/>
    <w:qFormat/>
    <w:uiPriority w:val="0"/>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rPr>
      <w:b/>
    </w:rPr>
  </w:style>
  <w:style w:type="paragraph" w:styleId="19">
    <w:name w:val="Subtitle"/>
    <w:basedOn w:val="1"/>
    <w:next w:val="1"/>
    <w:link w:val="72"/>
    <w:qFormat/>
    <w:uiPriority w:val="0"/>
    <w:pPr>
      <w:spacing w:beforeLines="100" w:after="260" w:line="240" w:lineRule="auto"/>
      <w:ind w:firstLine="0" w:firstLineChars="0"/>
      <w:jc w:val="left"/>
      <w:outlineLvl w:val="2"/>
    </w:pPr>
    <w:rPr>
      <w:rFonts w:ascii="Cambria" w:hAnsi="Cambria" w:cs="Times New Roman"/>
      <w:b/>
      <w:bCs/>
      <w:kern w:val="28"/>
      <w:sz w:val="30"/>
      <w:szCs w:val="32"/>
    </w:rPr>
  </w:style>
  <w:style w:type="paragraph" w:styleId="20">
    <w:name w:val="footnote text"/>
    <w:basedOn w:val="1"/>
    <w:link w:val="62"/>
    <w:qFormat/>
    <w:uiPriority w:val="0"/>
    <w:pPr>
      <w:snapToGrid w:val="0"/>
      <w:spacing w:line="240" w:lineRule="auto"/>
      <w:ind w:firstLine="0" w:firstLineChars="0"/>
      <w:jc w:val="left"/>
    </w:pPr>
    <w:rPr>
      <w:rFonts w:ascii="等线" w:hAnsi="等线" w:eastAsia="等线" w:cs="Times New Roman"/>
      <w:sz w:val="18"/>
      <w:szCs w:val="18"/>
    </w:rPr>
  </w:style>
  <w:style w:type="paragraph" w:styleId="21">
    <w:name w:val="Body Text Indent 3"/>
    <w:basedOn w:val="1"/>
    <w:link w:val="54"/>
    <w:qFormat/>
    <w:uiPriority w:val="0"/>
    <w:pPr>
      <w:widowControl/>
      <w:spacing w:before="100" w:beforeAutospacing="1" w:after="100" w:afterAutospacing="1" w:line="240" w:lineRule="auto"/>
      <w:ind w:firstLine="0" w:firstLineChars="0"/>
      <w:jc w:val="left"/>
    </w:pPr>
    <w:rPr>
      <w:rFonts w:ascii="宋体" w:hAnsi="宋体" w:eastAsia="等线" w:cs="宋体"/>
      <w:kern w:val="0"/>
      <w:sz w:val="24"/>
      <w:szCs w:val="21"/>
    </w:rPr>
  </w:style>
  <w:style w:type="paragraph" w:styleId="22">
    <w:name w:val="toc 2"/>
    <w:basedOn w:val="1"/>
    <w:next w:val="1"/>
    <w:unhideWhenUsed/>
    <w:qFormat/>
    <w:uiPriority w:val="39"/>
    <w:pPr>
      <w:ind w:left="420" w:leftChars="200"/>
    </w:pPr>
  </w:style>
  <w:style w:type="paragraph" w:styleId="23">
    <w:name w:val="Normal (Web)"/>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4"/>
      <w:szCs w:val="24"/>
    </w:rPr>
  </w:style>
  <w:style w:type="paragraph" w:styleId="24">
    <w:name w:val="Title"/>
    <w:basedOn w:val="1"/>
    <w:next w:val="1"/>
    <w:link w:val="47"/>
    <w:qFormat/>
    <w:uiPriority w:val="0"/>
    <w:pPr>
      <w:spacing w:before="120" w:after="120" w:line="240" w:lineRule="auto"/>
      <w:ind w:firstLine="0" w:firstLineChars="0"/>
      <w:jc w:val="center"/>
    </w:pPr>
    <w:rPr>
      <w:rFonts w:cstheme="majorBidi"/>
      <w:b/>
      <w:bCs/>
      <w:sz w:val="24"/>
      <w:szCs w:val="32"/>
    </w:rPr>
  </w:style>
  <w:style w:type="paragraph" w:styleId="25">
    <w:name w:val="annotation subject"/>
    <w:basedOn w:val="9"/>
    <w:next w:val="9"/>
    <w:link w:val="40"/>
    <w:unhideWhenUsed/>
    <w:qFormat/>
    <w:uiPriority w:val="0"/>
    <w:rPr>
      <w:b/>
      <w:bCs/>
    </w:rPr>
  </w:style>
  <w:style w:type="paragraph" w:styleId="26">
    <w:name w:val="Body Text First Indent 2"/>
    <w:basedOn w:val="11"/>
    <w:link w:val="95"/>
    <w:semiHidden/>
    <w:unhideWhenUsed/>
    <w:qFormat/>
    <w:uiPriority w:val="99"/>
    <w:pPr>
      <w:widowControl w:val="0"/>
      <w:spacing w:before="0" w:beforeAutospacing="0" w:after="120" w:afterAutospacing="0"/>
      <w:ind w:left="420" w:leftChars="200" w:firstLine="420" w:firstLineChars="200"/>
      <w:jc w:val="both"/>
    </w:pPr>
    <w:rPr>
      <w:rFonts w:ascii="等线" w:hAnsi="等线" w:cs="Times New Roman"/>
      <w:kern w:val="2"/>
      <w:sz w:val="21"/>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bCs/>
    </w:rPr>
  </w:style>
  <w:style w:type="character" w:styleId="31">
    <w:name w:val="page number"/>
    <w:qFormat/>
    <w:uiPriority w:val="0"/>
  </w:style>
  <w:style w:type="character" w:styleId="32">
    <w:name w:val="FollowedHyperlink"/>
    <w:basedOn w:val="29"/>
    <w:semiHidden/>
    <w:unhideWhenUsed/>
    <w:uiPriority w:val="99"/>
    <w:rPr>
      <w:color w:val="954F72"/>
      <w:u w:val="single"/>
    </w:rPr>
  </w:style>
  <w:style w:type="character" w:styleId="33">
    <w:name w:val="Hyperlink"/>
    <w:basedOn w:val="29"/>
    <w:unhideWhenUsed/>
    <w:uiPriority w:val="99"/>
    <w:rPr>
      <w:color w:val="0563C1" w:themeColor="hyperlink"/>
      <w:u w:val="single"/>
      <w14:textFill>
        <w14:solidFill>
          <w14:schemeClr w14:val="hlink"/>
        </w14:solidFill>
      </w14:textFill>
    </w:rPr>
  </w:style>
  <w:style w:type="character" w:styleId="34">
    <w:name w:val="annotation reference"/>
    <w:basedOn w:val="29"/>
    <w:unhideWhenUsed/>
    <w:qFormat/>
    <w:uiPriority w:val="0"/>
    <w:rPr>
      <w:sz w:val="21"/>
      <w:szCs w:val="21"/>
    </w:rPr>
  </w:style>
  <w:style w:type="character" w:styleId="35">
    <w:name w:val="footnote reference"/>
    <w:qFormat/>
    <w:uiPriority w:val="0"/>
    <w:rPr>
      <w:vertAlign w:val="superscript"/>
    </w:rPr>
  </w:style>
  <w:style w:type="character" w:customStyle="1" w:styleId="36">
    <w:name w:val="页脚 字符"/>
    <w:basedOn w:val="29"/>
    <w:link w:val="16"/>
    <w:qFormat/>
    <w:uiPriority w:val="99"/>
    <w:rPr>
      <w:sz w:val="18"/>
      <w:szCs w:val="18"/>
    </w:rPr>
  </w:style>
  <w:style w:type="character" w:customStyle="1" w:styleId="37">
    <w:name w:val="页眉 字符"/>
    <w:basedOn w:val="29"/>
    <w:link w:val="17"/>
    <w:qFormat/>
    <w:uiPriority w:val="99"/>
    <w:rPr>
      <w:sz w:val="18"/>
      <w:szCs w:val="18"/>
    </w:rPr>
  </w:style>
  <w:style w:type="character" w:customStyle="1" w:styleId="38">
    <w:name w:val="批注框文本 字符"/>
    <w:basedOn w:val="29"/>
    <w:link w:val="15"/>
    <w:qFormat/>
    <w:uiPriority w:val="0"/>
    <w:rPr>
      <w:sz w:val="18"/>
      <w:szCs w:val="18"/>
    </w:rPr>
  </w:style>
  <w:style w:type="character" w:customStyle="1" w:styleId="39">
    <w:name w:val="批注文字 字符"/>
    <w:basedOn w:val="29"/>
    <w:link w:val="9"/>
    <w:qFormat/>
    <w:uiPriority w:val="0"/>
  </w:style>
  <w:style w:type="character" w:customStyle="1" w:styleId="40">
    <w:name w:val="批注主题 字符"/>
    <w:basedOn w:val="39"/>
    <w:link w:val="25"/>
    <w:qFormat/>
    <w:uiPriority w:val="0"/>
    <w:rPr>
      <w:b/>
      <w:bCs/>
    </w:rPr>
  </w:style>
  <w:style w:type="character" w:customStyle="1" w:styleId="41">
    <w:name w:val="标题 3 字符"/>
    <w:basedOn w:val="29"/>
    <w:link w:val="4"/>
    <w:qFormat/>
    <w:uiPriority w:val="0"/>
    <w:rPr>
      <w:rFonts w:ascii="Times New Roman" w:hAnsi="Times New Roman" w:eastAsia="宋体" w:cs="Times New Roman"/>
      <w:b/>
      <w:bCs/>
      <w:sz w:val="32"/>
      <w:szCs w:val="32"/>
    </w:rPr>
  </w:style>
  <w:style w:type="character" w:customStyle="1" w:styleId="42">
    <w:name w:val="正文样式 Char"/>
    <w:link w:val="43"/>
    <w:qFormat/>
    <w:uiPriority w:val="0"/>
    <w:rPr>
      <w:rFonts w:eastAsia="仿宋_GB2312"/>
      <w:sz w:val="28"/>
      <w:szCs w:val="28"/>
    </w:rPr>
  </w:style>
  <w:style w:type="paragraph" w:customStyle="1" w:styleId="43">
    <w:name w:val="正文样式"/>
    <w:basedOn w:val="1"/>
    <w:link w:val="42"/>
    <w:qFormat/>
    <w:uiPriority w:val="0"/>
    <w:pPr>
      <w:snapToGrid w:val="0"/>
      <w:spacing w:beforeLines="20" w:afterLines="20" w:line="460" w:lineRule="exact"/>
      <w:contextualSpacing/>
    </w:pPr>
    <w:rPr>
      <w:rFonts w:eastAsia="仿宋_GB2312"/>
      <w:szCs w:val="28"/>
    </w:rPr>
  </w:style>
  <w:style w:type="character" w:customStyle="1" w:styleId="44">
    <w:name w:val="标题 1 字符"/>
    <w:basedOn w:val="29"/>
    <w:link w:val="2"/>
    <w:qFormat/>
    <w:uiPriority w:val="0"/>
    <w:rPr>
      <w:rFonts w:ascii="Times New Roman" w:hAnsi="Times New Roman" w:eastAsia="宋体"/>
      <w:b/>
      <w:bCs/>
      <w:kern w:val="44"/>
      <w:sz w:val="44"/>
      <w:szCs w:val="44"/>
    </w:rPr>
  </w:style>
  <w:style w:type="character" w:customStyle="1" w:styleId="45">
    <w:name w:val="日期 字符"/>
    <w:basedOn w:val="29"/>
    <w:link w:val="14"/>
    <w:qFormat/>
    <w:uiPriority w:val="0"/>
    <w:rPr>
      <w:rFonts w:ascii="Times New Roman" w:hAnsi="Times New Roman" w:eastAsia="宋体"/>
      <w:sz w:val="28"/>
    </w:rPr>
  </w:style>
  <w:style w:type="character" w:customStyle="1" w:styleId="46">
    <w:name w:val="标题 4 字符"/>
    <w:basedOn w:val="29"/>
    <w:link w:val="5"/>
    <w:uiPriority w:val="0"/>
    <w:rPr>
      <w:rFonts w:eastAsia="宋体" w:asciiTheme="majorHAnsi" w:hAnsiTheme="majorHAnsi" w:cstheme="majorBidi"/>
      <w:b/>
      <w:bCs/>
      <w:sz w:val="24"/>
      <w:szCs w:val="28"/>
    </w:rPr>
  </w:style>
  <w:style w:type="character" w:customStyle="1" w:styleId="47">
    <w:name w:val="标题 字符"/>
    <w:basedOn w:val="29"/>
    <w:link w:val="24"/>
    <w:uiPriority w:val="0"/>
    <w:rPr>
      <w:rFonts w:ascii="Times New Roman" w:hAnsi="Times New Roman" w:eastAsia="宋体" w:cstheme="majorBidi"/>
      <w:b/>
      <w:bCs/>
      <w:sz w:val="24"/>
      <w:szCs w:val="32"/>
    </w:rPr>
  </w:style>
  <w:style w:type="paragraph" w:styleId="48">
    <w:name w:val="List Paragraph"/>
    <w:basedOn w:val="1"/>
    <w:qFormat/>
    <w:uiPriority w:val="34"/>
    <w:pPr>
      <w:ind w:firstLine="420"/>
    </w:pPr>
  </w:style>
  <w:style w:type="character" w:customStyle="1" w:styleId="49">
    <w:name w:val="标题 2 字符"/>
    <w:basedOn w:val="29"/>
    <w:link w:val="3"/>
    <w:qFormat/>
    <w:uiPriority w:val="0"/>
    <w:rPr>
      <w:rFonts w:asciiTheme="majorHAnsi" w:hAnsiTheme="majorHAnsi" w:eastAsiaTheme="majorEastAsia" w:cstheme="majorBidi"/>
      <w:b/>
      <w:bCs/>
      <w:sz w:val="32"/>
      <w:szCs w:val="32"/>
    </w:rPr>
  </w:style>
  <w:style w:type="paragraph" w:customStyle="1" w:styleId="50">
    <w:name w:val="6"/>
    <w:basedOn w:val="11"/>
    <w:next w:val="26"/>
    <w:link w:val="84"/>
    <w:qFormat/>
    <w:uiPriority w:val="0"/>
    <w:pPr>
      <w:widowControl w:val="0"/>
      <w:adjustRightInd w:val="0"/>
      <w:snapToGrid w:val="0"/>
      <w:spacing w:before="0" w:beforeAutospacing="0" w:after="120" w:afterAutospacing="0" w:line="480" w:lineRule="exact"/>
      <w:ind w:left="420" w:leftChars="200" w:firstLine="420" w:firstLineChars="200"/>
      <w:jc w:val="both"/>
    </w:pPr>
    <w:rPr>
      <w:rFonts w:ascii="Times New Roman" w:hAnsi="Times New Roman" w:eastAsia="宋体"/>
      <w:kern w:val="2"/>
      <w:sz w:val="21"/>
      <w:szCs w:val="24"/>
    </w:rPr>
  </w:style>
  <w:style w:type="paragraph" w:customStyle="1" w:styleId="51">
    <w:name w:val="a0"/>
    <w:basedOn w:val="1"/>
    <w:uiPriority w:val="0"/>
    <w:pPr>
      <w:widowControl/>
      <w:spacing w:before="100" w:beforeAutospacing="1" w:after="100" w:afterAutospacing="1" w:line="240" w:lineRule="auto"/>
      <w:ind w:firstLine="0" w:firstLineChars="0"/>
      <w:jc w:val="left"/>
    </w:pPr>
    <w:rPr>
      <w:rFonts w:ascii="宋体" w:hAnsi="宋体" w:eastAsia="等线" w:cs="宋体"/>
      <w:kern w:val="0"/>
      <w:sz w:val="24"/>
      <w:szCs w:val="21"/>
    </w:rPr>
  </w:style>
  <w:style w:type="paragraph" w:customStyle="1" w:styleId="52">
    <w:name w:val="a"/>
    <w:basedOn w:val="1"/>
    <w:qFormat/>
    <w:uiPriority w:val="0"/>
    <w:pPr>
      <w:widowControl/>
      <w:spacing w:before="100" w:beforeAutospacing="1" w:after="100" w:afterAutospacing="1" w:line="240" w:lineRule="auto"/>
      <w:ind w:firstLine="0" w:firstLineChars="0"/>
      <w:jc w:val="left"/>
    </w:pPr>
    <w:rPr>
      <w:rFonts w:ascii="宋体" w:hAnsi="宋体" w:eastAsia="等线" w:cs="宋体"/>
      <w:kern w:val="0"/>
      <w:sz w:val="24"/>
      <w:szCs w:val="21"/>
    </w:rPr>
  </w:style>
  <w:style w:type="paragraph" w:customStyle="1" w:styleId="53">
    <w:name w:val="3"/>
    <w:basedOn w:val="1"/>
    <w:uiPriority w:val="0"/>
    <w:pPr>
      <w:widowControl/>
      <w:spacing w:before="100" w:beforeAutospacing="1" w:after="100" w:afterAutospacing="1" w:line="240" w:lineRule="auto"/>
      <w:ind w:firstLine="0" w:firstLineChars="0"/>
      <w:jc w:val="left"/>
    </w:pPr>
    <w:rPr>
      <w:rFonts w:ascii="宋体" w:hAnsi="宋体" w:eastAsia="等线" w:cs="宋体"/>
      <w:kern w:val="0"/>
      <w:sz w:val="24"/>
      <w:szCs w:val="21"/>
    </w:rPr>
  </w:style>
  <w:style w:type="character" w:customStyle="1" w:styleId="54">
    <w:name w:val="正文文本缩进 3 字符"/>
    <w:basedOn w:val="29"/>
    <w:link w:val="21"/>
    <w:uiPriority w:val="0"/>
    <w:rPr>
      <w:rFonts w:ascii="宋体" w:hAnsi="宋体" w:eastAsia="等线" w:cs="宋体"/>
      <w:kern w:val="0"/>
      <w:sz w:val="24"/>
      <w:szCs w:val="21"/>
    </w:rPr>
  </w:style>
  <w:style w:type="character" w:customStyle="1" w:styleId="55">
    <w:name w:val="正文文本缩进 字符"/>
    <w:basedOn w:val="29"/>
    <w:semiHidden/>
    <w:qFormat/>
    <w:uiPriority w:val="99"/>
    <w:rPr>
      <w:rFonts w:ascii="Times New Roman" w:hAnsi="Times New Roman" w:eastAsia="宋体"/>
      <w:sz w:val="28"/>
    </w:rPr>
  </w:style>
  <w:style w:type="character" w:customStyle="1" w:styleId="56">
    <w:name w:val="正文文本缩进 字符1"/>
    <w:link w:val="11"/>
    <w:qFormat/>
    <w:uiPriority w:val="0"/>
    <w:rPr>
      <w:rFonts w:ascii="宋体" w:hAnsi="宋体" w:eastAsia="等线" w:cs="宋体"/>
      <w:kern w:val="0"/>
      <w:sz w:val="24"/>
      <w:szCs w:val="21"/>
    </w:rPr>
  </w:style>
  <w:style w:type="character" w:customStyle="1" w:styleId="57">
    <w:name w:val="正文文本 字符"/>
    <w:basedOn w:val="29"/>
    <w:link w:val="10"/>
    <w:qFormat/>
    <w:uiPriority w:val="0"/>
    <w:rPr>
      <w:rFonts w:ascii="宋体" w:hAnsi="宋体" w:eastAsia="等线" w:cs="宋体"/>
      <w:kern w:val="0"/>
      <w:sz w:val="24"/>
      <w:szCs w:val="21"/>
    </w:rPr>
  </w:style>
  <w:style w:type="paragraph" w:customStyle="1" w:styleId="58">
    <w:name w:val="瑞安标题2"/>
    <w:basedOn w:val="3"/>
    <w:qFormat/>
    <w:uiPriority w:val="0"/>
    <w:pPr>
      <w:adjustRightInd w:val="0"/>
      <w:snapToGrid w:val="0"/>
      <w:spacing w:before="240" w:beforeLines="50" w:after="240" w:afterLines="50" w:line="360" w:lineRule="auto"/>
      <w:ind w:firstLine="0" w:firstLineChars="0"/>
      <w:jc w:val="left"/>
    </w:pPr>
    <w:rPr>
      <w:rFonts w:ascii="宋体" w:hAnsi="宋体" w:eastAsia="黑体" w:cs="Times New Roman"/>
      <w:bCs w:val="0"/>
      <w:sz w:val="36"/>
      <w:szCs w:val="36"/>
    </w:rPr>
  </w:style>
  <w:style w:type="paragraph" w:customStyle="1" w:styleId="59">
    <w:name w:val="瑞安正文"/>
    <w:basedOn w:val="1"/>
    <w:uiPriority w:val="0"/>
    <w:pPr>
      <w:adjustRightInd w:val="0"/>
      <w:snapToGrid w:val="0"/>
      <w:spacing w:after="50" w:afterLines="50" w:line="300" w:lineRule="auto"/>
    </w:pPr>
    <w:rPr>
      <w:rFonts w:ascii="等线" w:hAnsi="等线" w:eastAsia="等线" w:cs="Times New Roman"/>
      <w:sz w:val="24"/>
      <w:szCs w:val="21"/>
    </w:rPr>
  </w:style>
  <w:style w:type="paragraph" w:customStyle="1" w:styleId="60">
    <w:name w:val="瑞安标题3"/>
    <w:basedOn w:val="4"/>
    <w:uiPriority w:val="0"/>
    <w:pPr>
      <w:adjustRightInd w:val="0"/>
      <w:snapToGrid w:val="0"/>
      <w:spacing w:before="120" w:after="120" w:line="360" w:lineRule="auto"/>
      <w:ind w:firstLine="0" w:firstLineChars="0"/>
    </w:pPr>
    <w:rPr>
      <w:rFonts w:ascii="等线" w:hAnsi="等线" w:eastAsia="等线"/>
    </w:rPr>
  </w:style>
  <w:style w:type="paragraph" w:customStyle="1" w:styleId="61">
    <w:name w:val="表格内容"/>
    <w:basedOn w:val="1"/>
    <w:qFormat/>
    <w:uiPriority w:val="0"/>
    <w:pPr>
      <w:tabs>
        <w:tab w:val="left" w:pos="630"/>
      </w:tabs>
      <w:adjustRightInd w:val="0"/>
      <w:snapToGrid w:val="0"/>
      <w:spacing w:line="240" w:lineRule="auto"/>
      <w:ind w:firstLine="0" w:firstLineChars="0"/>
      <w:jc w:val="center"/>
    </w:pPr>
    <w:rPr>
      <w:rFonts w:ascii="等线" w:hAnsi="等线" w:eastAsia="等线" w:cs="Times New Roman"/>
      <w:sz w:val="24"/>
      <w:szCs w:val="21"/>
    </w:rPr>
  </w:style>
  <w:style w:type="character" w:customStyle="1" w:styleId="62">
    <w:name w:val="脚注文本 字符"/>
    <w:basedOn w:val="29"/>
    <w:link w:val="20"/>
    <w:qFormat/>
    <w:uiPriority w:val="0"/>
    <w:rPr>
      <w:rFonts w:ascii="等线" w:hAnsi="等线" w:eastAsia="等线" w:cs="Times New Roman"/>
      <w:sz w:val="18"/>
      <w:szCs w:val="18"/>
    </w:rPr>
  </w:style>
  <w:style w:type="paragraph" w:customStyle="1" w:styleId="63">
    <w:name w:val="标准条文"/>
    <w:basedOn w:val="1"/>
    <w:qFormat/>
    <w:uiPriority w:val="0"/>
    <w:pPr>
      <w:spacing w:line="300" w:lineRule="auto"/>
      <w:ind w:firstLine="560"/>
    </w:pPr>
    <w:rPr>
      <w:rFonts w:ascii="仿宋_GB2312" w:hAnsi="等线" w:eastAsia="仿宋_GB2312" w:cs="Times New Roman"/>
      <w:color w:val="000000"/>
      <w:szCs w:val="28"/>
      <w:u w:val="single"/>
    </w:rPr>
  </w:style>
  <w:style w:type="paragraph" w:customStyle="1" w:styleId="64">
    <w:name w:val="TOC Heading"/>
    <w:basedOn w:val="2"/>
    <w:next w:val="1"/>
    <w:qFormat/>
    <w:uiPriority w:val="39"/>
    <w:pPr>
      <w:widowControl/>
      <w:spacing w:before="480" w:beforeLines="50" w:after="0" w:afterLines="50" w:line="276" w:lineRule="auto"/>
      <w:ind w:firstLine="0" w:firstLineChars="0"/>
      <w:jc w:val="left"/>
      <w:outlineLvl w:val="9"/>
    </w:pPr>
    <w:rPr>
      <w:rFonts w:ascii="等线 Light" w:hAnsi="等线 Light" w:eastAsia="等线 Light" w:cs="Times New Roman"/>
      <w:color w:val="2F5496"/>
      <w:kern w:val="0"/>
      <w:sz w:val="28"/>
      <w:szCs w:val="28"/>
    </w:rPr>
  </w:style>
  <w:style w:type="character" w:customStyle="1" w:styleId="65">
    <w:name w:val="纯文本 字符"/>
    <w:link w:val="13"/>
    <w:qFormat/>
    <w:uiPriority w:val="0"/>
    <w:rPr>
      <w:rFonts w:ascii="宋体" w:hAnsi="Courier New" w:cs="Courier New"/>
      <w:szCs w:val="21"/>
    </w:rPr>
  </w:style>
  <w:style w:type="character" w:customStyle="1" w:styleId="66">
    <w:name w:val="纯文本 字符1"/>
    <w:basedOn w:val="29"/>
    <w:uiPriority w:val="0"/>
    <w:rPr>
      <w:rFonts w:hAnsi="Courier New" w:cs="Courier New" w:asciiTheme="minorEastAsia"/>
      <w:sz w:val="28"/>
    </w:rPr>
  </w:style>
  <w:style w:type="character" w:customStyle="1" w:styleId="67">
    <w:name w:val="正文+小四 Char Char"/>
    <w:link w:val="68"/>
    <w:qFormat/>
    <w:uiPriority w:val="0"/>
    <w:rPr>
      <w:sz w:val="24"/>
      <w:szCs w:val="24"/>
    </w:rPr>
  </w:style>
  <w:style w:type="paragraph" w:customStyle="1" w:styleId="68">
    <w:name w:val="正文+小四"/>
    <w:basedOn w:val="1"/>
    <w:link w:val="67"/>
    <w:qFormat/>
    <w:uiPriority w:val="0"/>
    <w:rPr>
      <w:rFonts w:asciiTheme="minorHAnsi" w:hAnsiTheme="minorHAnsi" w:eastAsiaTheme="minorEastAsia"/>
      <w:sz w:val="24"/>
      <w:szCs w:val="24"/>
    </w:rPr>
  </w:style>
  <w:style w:type="character" w:customStyle="1" w:styleId="69">
    <w:name w:val="正文+小四+设计院 Char"/>
    <w:link w:val="70"/>
    <w:qFormat/>
    <w:uiPriority w:val="0"/>
    <w:rPr>
      <w:rFonts w:cs="宋体"/>
      <w:bCs/>
      <w:color w:val="000000"/>
      <w:sz w:val="24"/>
      <w:szCs w:val="24"/>
    </w:rPr>
  </w:style>
  <w:style w:type="paragraph" w:customStyle="1" w:styleId="70">
    <w:name w:val="正文+小四+设计院"/>
    <w:basedOn w:val="1"/>
    <w:link w:val="69"/>
    <w:qFormat/>
    <w:uiPriority w:val="0"/>
    <w:pPr>
      <w:spacing w:line="240" w:lineRule="auto"/>
    </w:pPr>
    <w:rPr>
      <w:rFonts w:cs="宋体" w:asciiTheme="minorHAnsi" w:hAnsiTheme="minorHAnsi" w:eastAsiaTheme="minorEastAsia"/>
      <w:bCs/>
      <w:color w:val="000000"/>
      <w:sz w:val="24"/>
      <w:szCs w:val="24"/>
    </w:rPr>
  </w:style>
  <w:style w:type="paragraph" w:customStyle="1" w:styleId="71">
    <w:name w:val="Default"/>
    <w:qFormat/>
    <w:uiPriority w:val="0"/>
    <w:pPr>
      <w:widowControl w:val="0"/>
      <w:autoSpaceDE w:val="0"/>
      <w:autoSpaceDN w:val="0"/>
      <w:adjustRightInd w:val="0"/>
    </w:pPr>
    <w:rPr>
      <w:rFonts w:ascii="微软雅黑" w:hAnsi="等线" w:eastAsia="微软雅黑" w:cs="微软雅黑"/>
      <w:color w:val="000000"/>
      <w:kern w:val="0"/>
      <w:sz w:val="24"/>
      <w:szCs w:val="24"/>
      <w:lang w:val="en-US" w:eastAsia="zh-CN" w:bidi="ar-SA"/>
    </w:rPr>
  </w:style>
  <w:style w:type="character" w:customStyle="1" w:styleId="72">
    <w:name w:val="副标题 字符"/>
    <w:basedOn w:val="29"/>
    <w:link w:val="19"/>
    <w:qFormat/>
    <w:uiPriority w:val="0"/>
    <w:rPr>
      <w:rFonts w:ascii="Cambria" w:hAnsi="Cambria" w:eastAsia="宋体" w:cs="Times New Roman"/>
      <w:b/>
      <w:bCs/>
      <w:kern w:val="28"/>
      <w:sz w:val="30"/>
      <w:szCs w:val="32"/>
    </w:rPr>
  </w:style>
  <w:style w:type="paragraph" w:customStyle="1" w:styleId="73">
    <w:name w:val="表格"/>
    <w:uiPriority w:val="0"/>
    <w:pPr>
      <w:widowControl w:val="0"/>
      <w:spacing w:line="240" w:lineRule="exact"/>
      <w:jc w:val="center"/>
    </w:pPr>
    <w:rPr>
      <w:rFonts w:ascii="Times New Roman" w:hAnsi="Times New Roman" w:eastAsia="宋体" w:cs="Times New Roman"/>
      <w:color w:val="000000"/>
      <w:kern w:val="2"/>
      <w:sz w:val="21"/>
      <w:szCs w:val="21"/>
      <w:lang w:val="en-US" w:eastAsia="zh-CN" w:bidi="ar-SA"/>
    </w:rPr>
  </w:style>
  <w:style w:type="character" w:customStyle="1" w:styleId="74">
    <w:name w:val="正文+小四 Char"/>
    <w:qFormat/>
    <w:uiPriority w:val="0"/>
    <w:rPr>
      <w:rFonts w:ascii="Times New Roman" w:hAnsi="Times New Roman" w:eastAsia="宋体" w:cs="Times New Roman"/>
      <w:kern w:val="0"/>
      <w:sz w:val="24"/>
      <w:szCs w:val="20"/>
    </w:rPr>
  </w:style>
  <w:style w:type="paragraph" w:customStyle="1" w:styleId="75">
    <w:name w:val="附注"/>
    <w:basedOn w:val="1"/>
    <w:qFormat/>
    <w:uiPriority w:val="0"/>
    <w:pPr>
      <w:ind w:firstLine="420"/>
    </w:pPr>
    <w:rPr>
      <w:rFonts w:cs="宋体"/>
      <w:color w:val="000000"/>
      <w:kern w:val="0"/>
      <w:sz w:val="21"/>
      <w:szCs w:val="20"/>
    </w:rPr>
  </w:style>
  <w:style w:type="paragraph" w:customStyle="1" w:styleId="76">
    <w:name w:val="Char Char Char Char Char Char Char Char Char Char"/>
    <w:basedOn w:val="1"/>
    <w:qFormat/>
    <w:uiPriority w:val="0"/>
    <w:pPr>
      <w:widowControl/>
      <w:spacing w:after="160" w:line="240" w:lineRule="exact"/>
      <w:ind w:firstLine="0" w:firstLineChars="0"/>
      <w:jc w:val="left"/>
    </w:pPr>
    <w:rPr>
      <w:rFonts w:ascii="Verdana" w:hAnsi="Verdana" w:cs="Times New Roman"/>
      <w:kern w:val="0"/>
      <w:sz w:val="21"/>
      <w:szCs w:val="20"/>
      <w:lang w:eastAsia="en-US"/>
    </w:rPr>
  </w:style>
  <w:style w:type="paragraph" w:customStyle="1" w:styleId="77">
    <w:name w:val="列出段落1"/>
    <w:basedOn w:val="1"/>
    <w:qFormat/>
    <w:uiPriority w:val="0"/>
    <w:pPr>
      <w:jc w:val="left"/>
    </w:pPr>
    <w:rPr>
      <w:rFonts w:cs="Times New Roman"/>
      <w:sz w:val="24"/>
      <w:szCs w:val="24"/>
    </w:rPr>
  </w:style>
  <w:style w:type="paragraph" w:customStyle="1" w:styleId="78">
    <w:name w:val="王正慧-正文"/>
    <w:basedOn w:val="1"/>
    <w:link w:val="79"/>
    <w:qFormat/>
    <w:uiPriority w:val="0"/>
    <w:pPr>
      <w:ind w:firstLine="480"/>
    </w:pPr>
    <w:rPr>
      <w:rFonts w:cs="宋体"/>
      <w:sz w:val="24"/>
      <w:szCs w:val="20"/>
    </w:rPr>
  </w:style>
  <w:style w:type="character" w:customStyle="1" w:styleId="79">
    <w:name w:val="王正慧-正文 Char1"/>
    <w:link w:val="78"/>
    <w:uiPriority w:val="0"/>
    <w:rPr>
      <w:rFonts w:ascii="Times New Roman" w:hAnsi="Times New Roman" w:eastAsia="宋体" w:cs="宋体"/>
      <w:sz w:val="24"/>
      <w:szCs w:val="20"/>
    </w:rPr>
  </w:style>
  <w:style w:type="paragraph" w:customStyle="1" w:styleId="80">
    <w:name w:val="吉-正文"/>
    <w:basedOn w:val="1"/>
    <w:link w:val="81"/>
    <w:qFormat/>
    <w:uiPriority w:val="0"/>
    <w:pPr>
      <w:ind w:firstLine="480"/>
    </w:pPr>
    <w:rPr>
      <w:rFonts w:cs="宋体"/>
      <w:sz w:val="24"/>
      <w:szCs w:val="20"/>
    </w:rPr>
  </w:style>
  <w:style w:type="character" w:customStyle="1" w:styleId="81">
    <w:name w:val="吉-正文 Char Char"/>
    <w:link w:val="80"/>
    <w:qFormat/>
    <w:uiPriority w:val="0"/>
    <w:rPr>
      <w:rFonts w:ascii="Times New Roman" w:hAnsi="Times New Roman" w:eastAsia="宋体" w:cs="宋体"/>
      <w:sz w:val="24"/>
      <w:szCs w:val="20"/>
    </w:rPr>
  </w:style>
  <w:style w:type="character" w:customStyle="1" w:styleId="82">
    <w:name w:val="正文+小四 Char1"/>
    <w:qFormat/>
    <w:uiPriority w:val="0"/>
    <w:rPr>
      <w:rFonts w:eastAsia="宋体"/>
      <w:kern w:val="2"/>
      <w:sz w:val="24"/>
      <w:szCs w:val="24"/>
      <w:lang w:val="en-US" w:eastAsia="zh-CN" w:bidi="ar-SA"/>
    </w:rPr>
  </w:style>
  <w:style w:type="character" w:customStyle="1" w:styleId="83">
    <w:name w:val="文档结构图 字符"/>
    <w:basedOn w:val="29"/>
    <w:link w:val="8"/>
    <w:qFormat/>
    <w:uiPriority w:val="0"/>
    <w:rPr>
      <w:rFonts w:ascii="宋体" w:hAnsi="等线" w:eastAsia="宋体" w:cs="Times New Roman"/>
      <w:sz w:val="18"/>
      <w:szCs w:val="18"/>
    </w:rPr>
  </w:style>
  <w:style w:type="character" w:customStyle="1" w:styleId="84">
    <w:name w:val="正文首行缩进 2 字符"/>
    <w:link w:val="50"/>
    <w:qFormat/>
    <w:uiPriority w:val="0"/>
    <w:rPr>
      <w:rFonts w:ascii="Times New Roman" w:hAnsi="Times New Roman" w:eastAsia="宋体" w:cs="宋体"/>
      <w:kern w:val="2"/>
      <w:sz w:val="21"/>
      <w:szCs w:val="24"/>
    </w:rPr>
  </w:style>
  <w:style w:type="paragraph" w:customStyle="1" w:styleId="85">
    <w:name w:val="样式 !自定正文Alt+C + 首行缩进:  2 字符4"/>
    <w:basedOn w:val="1"/>
    <w:qFormat/>
    <w:uiPriority w:val="0"/>
    <w:pPr>
      <w:spacing w:before="156" w:beforeLines="50" w:after="120" w:line="240" w:lineRule="auto"/>
      <w:ind w:firstLine="15" w:firstLineChars="7"/>
      <w:jc w:val="center"/>
    </w:pPr>
    <w:rPr>
      <w:rFonts w:cs="宋体"/>
      <w:sz w:val="21"/>
      <w:szCs w:val="21"/>
      <w:lang w:val="zu-ZA"/>
    </w:rPr>
  </w:style>
  <w:style w:type="paragraph" w:customStyle="1" w:styleId="86">
    <w:name w:val="Char Char Char1 Char Char Char Char Char Char Char"/>
    <w:basedOn w:val="1"/>
    <w:uiPriority w:val="0"/>
    <w:rPr>
      <w:rFonts w:ascii="宋体" w:hAnsi="宋体" w:cs="宋体"/>
      <w:sz w:val="24"/>
      <w:szCs w:val="24"/>
    </w:rPr>
  </w:style>
  <w:style w:type="character" w:customStyle="1" w:styleId="87">
    <w:name w:val="标题 4 Char Char Char"/>
    <w:uiPriority w:val="0"/>
    <w:rPr>
      <w:kern w:val="2"/>
      <w:sz w:val="28"/>
      <w:szCs w:val="28"/>
    </w:rPr>
  </w:style>
  <w:style w:type="paragraph" w:customStyle="1" w:styleId="88">
    <w:name w:val="aa绥江正文"/>
    <w:basedOn w:val="1"/>
    <w:uiPriority w:val="0"/>
    <w:pPr>
      <w:adjustRightInd w:val="0"/>
      <w:snapToGrid w:val="0"/>
    </w:pPr>
    <w:rPr>
      <w:rFonts w:cs="Times New Roman"/>
      <w:szCs w:val="28"/>
    </w:rPr>
  </w:style>
  <w:style w:type="paragraph" w:customStyle="1" w:styleId="89">
    <w:name w:val="正文格式"/>
    <w:basedOn w:val="1"/>
    <w:uiPriority w:val="0"/>
    <w:pPr>
      <w:ind w:firstLine="480"/>
    </w:pPr>
    <w:rPr>
      <w:rFonts w:ascii="宋体" w:hAnsi="宋体" w:cs="宋体"/>
      <w:bCs/>
      <w:kern w:val="0"/>
      <w:sz w:val="24"/>
      <w:szCs w:val="20"/>
    </w:rPr>
  </w:style>
  <w:style w:type="paragraph" w:customStyle="1" w:styleId="90">
    <w:name w:val="Char Char Char Char"/>
    <w:basedOn w:val="1"/>
    <w:uiPriority w:val="0"/>
    <w:pPr>
      <w:widowControl/>
      <w:spacing w:after="160" w:line="240" w:lineRule="exact"/>
      <w:ind w:firstLine="0" w:firstLineChars="0"/>
      <w:jc w:val="left"/>
    </w:pPr>
    <w:rPr>
      <w:rFonts w:ascii="Calibri" w:hAnsi="Calibri" w:cs="Times New Roman"/>
      <w:sz w:val="21"/>
    </w:rPr>
  </w:style>
  <w:style w:type="paragraph" w:customStyle="1" w:styleId="91">
    <w:name w:val="Char Char Char1 Char Char Char Char Char Char Char Char Char"/>
    <w:basedOn w:val="1"/>
    <w:qFormat/>
    <w:uiPriority w:val="0"/>
    <w:rPr>
      <w:rFonts w:ascii="宋体" w:hAnsi="宋体" w:cs="宋体"/>
      <w:sz w:val="24"/>
      <w:szCs w:val="24"/>
    </w:rPr>
  </w:style>
  <w:style w:type="paragraph" w:customStyle="1" w:styleId="92">
    <w:name w:val="Char Char Char1 Char Char Char Char Char Char Char2"/>
    <w:basedOn w:val="1"/>
    <w:uiPriority w:val="0"/>
    <w:rPr>
      <w:rFonts w:ascii="宋体" w:hAnsi="宋体" w:cs="宋体"/>
      <w:sz w:val="24"/>
      <w:szCs w:val="24"/>
    </w:rPr>
  </w:style>
  <w:style w:type="paragraph" w:customStyle="1" w:styleId="93">
    <w:name w:val="Char Char Char Char5"/>
    <w:basedOn w:val="1"/>
    <w:uiPriority w:val="0"/>
    <w:pPr>
      <w:widowControl/>
      <w:spacing w:after="160" w:line="240" w:lineRule="exact"/>
      <w:ind w:firstLine="0" w:firstLineChars="0"/>
      <w:jc w:val="left"/>
    </w:pPr>
    <w:rPr>
      <w:rFonts w:ascii="Calibri" w:hAnsi="Calibri" w:cs="Times New Roman"/>
      <w:sz w:val="21"/>
    </w:rPr>
  </w:style>
  <w:style w:type="paragraph" w:customStyle="1" w:styleId="94">
    <w:name w:val="Char Char Char1 Char Char Char Char Char Char Char Char Char2"/>
    <w:basedOn w:val="1"/>
    <w:uiPriority w:val="0"/>
    <w:rPr>
      <w:rFonts w:ascii="宋体" w:hAnsi="宋体" w:cs="宋体"/>
      <w:sz w:val="24"/>
      <w:szCs w:val="24"/>
    </w:rPr>
  </w:style>
  <w:style w:type="character" w:customStyle="1" w:styleId="95">
    <w:name w:val="正文文本首行缩进 2 字符"/>
    <w:basedOn w:val="55"/>
    <w:link w:val="26"/>
    <w:semiHidden/>
    <w:uiPriority w:val="99"/>
    <w:rPr>
      <w:rFonts w:ascii="等线" w:hAnsi="等线" w:eastAsia="等线" w:cs="Times New Roman"/>
      <w:sz w:val="28"/>
      <w:szCs w:val="21"/>
    </w:rPr>
  </w:style>
  <w:style w:type="paragraph" w:customStyle="1" w:styleId="96">
    <w:name w:val="Char Char1 Char Char"/>
    <w:basedOn w:val="1"/>
    <w:uiPriority w:val="0"/>
    <w:pPr>
      <w:spacing w:line="240" w:lineRule="auto"/>
      <w:ind w:firstLine="0" w:firstLineChars="0"/>
    </w:pPr>
    <w:rPr>
      <w:rFonts w:ascii="Calibri" w:hAnsi="Calibri" w:cs="Times New Roman"/>
      <w:sz w:val="21"/>
    </w:rPr>
  </w:style>
  <w:style w:type="character" w:customStyle="1" w:styleId="97">
    <w:name w:val="标题 1 Char"/>
    <w:uiPriority w:val="0"/>
    <w:rPr>
      <w:rFonts w:eastAsia="宋体"/>
      <w:b/>
      <w:bCs/>
      <w:kern w:val="44"/>
      <w:sz w:val="44"/>
      <w:szCs w:val="44"/>
      <w:lang w:val="en-US" w:eastAsia="zh-CN" w:bidi="ar-SA"/>
    </w:rPr>
  </w:style>
  <w:style w:type="character" w:customStyle="1" w:styleId="98">
    <w:name w:val="正文缩进 字符"/>
    <w:link w:val="6"/>
    <w:uiPriority w:val="0"/>
    <w:rPr>
      <w:rFonts w:ascii="Times New Roman" w:hAnsi="Times New Roman" w:eastAsia="宋体" w:cs="Times New Roman"/>
      <w:kern w:val="0"/>
      <w:sz w:val="28"/>
      <w:szCs w:val="20"/>
    </w:rPr>
  </w:style>
  <w:style w:type="paragraph" w:customStyle="1" w:styleId="99">
    <w:name w:val="Char Char1"/>
    <w:basedOn w:val="1"/>
    <w:uiPriority w:val="0"/>
    <w:pPr>
      <w:spacing w:line="240" w:lineRule="auto"/>
      <w:ind w:firstLine="0" w:firstLineChars="0"/>
    </w:pPr>
    <w:rPr>
      <w:rFonts w:cs="Times New Roman"/>
      <w:sz w:val="21"/>
      <w:szCs w:val="24"/>
    </w:rPr>
  </w:style>
  <w:style w:type="character" w:customStyle="1" w:styleId="100">
    <w:name w:val="正文01 Char"/>
    <w:link w:val="101"/>
    <w:uiPriority w:val="0"/>
    <w:rPr>
      <w:rFonts w:ascii="宋体" w:hAnsi="宋体" w:eastAsia="宋体"/>
      <w:color w:val="000000"/>
      <w:sz w:val="28"/>
      <w:szCs w:val="28"/>
    </w:rPr>
  </w:style>
  <w:style w:type="paragraph" w:customStyle="1" w:styleId="101">
    <w:name w:val="正文01"/>
    <w:basedOn w:val="1"/>
    <w:link w:val="100"/>
    <w:qFormat/>
    <w:uiPriority w:val="0"/>
    <w:pPr>
      <w:spacing w:line="560" w:lineRule="exact"/>
      <w:ind w:firstLine="560"/>
      <w:jc w:val="left"/>
    </w:pPr>
    <w:rPr>
      <w:rFonts w:ascii="宋体" w:hAnsi="宋体"/>
      <w:color w:val="000000"/>
      <w:szCs w:val="28"/>
    </w:rPr>
  </w:style>
  <w:style w:type="character" w:customStyle="1" w:styleId="102">
    <w:name w:val="正文文本 (3) + Batang"/>
    <w:uiPriority w:val="0"/>
    <w:rPr>
      <w:rFonts w:ascii="Batang" w:hAnsi="Batang" w:eastAsia="Batang" w:cs="Batang"/>
      <w:color w:val="000000"/>
      <w:spacing w:val="0"/>
      <w:w w:val="100"/>
      <w:position w:val="0"/>
      <w:sz w:val="14"/>
      <w:szCs w:val="14"/>
      <w:u w:val="none"/>
      <w:lang w:val="en-US"/>
    </w:rPr>
  </w:style>
  <w:style w:type="character" w:customStyle="1" w:styleId="103">
    <w:name w:val="正文文本_"/>
    <w:link w:val="104"/>
    <w:uiPriority w:val="0"/>
    <w:rPr>
      <w:rFonts w:ascii="MingLiU" w:hAnsi="MingLiU" w:eastAsia="MingLiU"/>
      <w:spacing w:val="12"/>
      <w:sz w:val="18"/>
      <w:szCs w:val="18"/>
      <w:shd w:val="clear" w:color="auto" w:fill="FFFFFF"/>
    </w:rPr>
  </w:style>
  <w:style w:type="paragraph" w:customStyle="1" w:styleId="104">
    <w:name w:val="正文文本2"/>
    <w:basedOn w:val="1"/>
    <w:link w:val="103"/>
    <w:uiPriority w:val="0"/>
    <w:pPr>
      <w:widowControl/>
      <w:shd w:val="clear" w:color="auto" w:fill="FFFFFF"/>
      <w:spacing w:before="60" w:line="312" w:lineRule="exact"/>
      <w:ind w:hanging="420" w:firstLineChars="0"/>
      <w:jc w:val="distribute"/>
    </w:pPr>
    <w:rPr>
      <w:rFonts w:ascii="MingLiU" w:hAnsi="MingLiU" w:eastAsia="MingLiU"/>
      <w:spacing w:val="12"/>
      <w:sz w:val="18"/>
      <w:szCs w:val="18"/>
      <w:shd w:val="clear" w:color="auto" w:fill="FFFFFF"/>
    </w:rPr>
  </w:style>
  <w:style w:type="character" w:customStyle="1" w:styleId="105">
    <w:name w:val="正文文本 + 间距 0 pt"/>
    <w:uiPriority w:val="0"/>
    <w:rPr>
      <w:rFonts w:ascii="MingLiU" w:hAnsi="MingLiU" w:eastAsia="MingLiU" w:cs="MingLiU"/>
      <w:color w:val="000000"/>
      <w:spacing w:val="-4"/>
      <w:w w:val="100"/>
      <w:position w:val="0"/>
      <w:sz w:val="18"/>
      <w:szCs w:val="18"/>
      <w:u w:val="none"/>
      <w:lang w:val="en-US"/>
    </w:rPr>
  </w:style>
  <w:style w:type="character" w:customStyle="1" w:styleId="106">
    <w:name w:val="Char Char"/>
    <w:uiPriority w:val="0"/>
    <w:rPr>
      <w:rFonts w:eastAsia="宋体"/>
      <w:b/>
      <w:kern w:val="44"/>
      <w:sz w:val="44"/>
      <w:lang w:bidi="ar-SA"/>
    </w:rPr>
  </w:style>
  <w:style w:type="character" w:customStyle="1" w:styleId="107">
    <w:name w:val="正文文本1"/>
    <w:uiPriority w:val="0"/>
    <w:rPr>
      <w:rFonts w:ascii="MingLiU" w:hAnsi="MingLiU" w:eastAsia="MingLiU" w:cs="MingLiU"/>
      <w:color w:val="000000"/>
      <w:spacing w:val="12"/>
      <w:w w:val="100"/>
      <w:position w:val="0"/>
      <w:sz w:val="18"/>
      <w:szCs w:val="18"/>
      <w:u w:val="single"/>
      <w:lang w:val="zh-TW"/>
    </w:rPr>
  </w:style>
  <w:style w:type="paragraph" w:customStyle="1" w:styleId="108">
    <w:name w:val="5"/>
    <w:basedOn w:val="1"/>
    <w:next w:val="48"/>
    <w:qFormat/>
    <w:uiPriority w:val="0"/>
    <w:pPr>
      <w:widowControl/>
      <w:spacing w:line="500" w:lineRule="exact"/>
      <w:ind w:firstLine="420"/>
    </w:pPr>
    <w:rPr>
      <w:rFonts w:cs="Times New Roman"/>
      <w:sz w:val="24"/>
    </w:rPr>
  </w:style>
  <w:style w:type="paragraph" w:customStyle="1" w:styleId="109">
    <w:name w:val="HCH图(表)头"/>
    <w:next w:val="110"/>
    <w:uiPriority w:val="0"/>
    <w:pPr>
      <w:widowControl w:val="0"/>
      <w:spacing w:line="500" w:lineRule="exact"/>
      <w:jc w:val="center"/>
    </w:pPr>
    <w:rPr>
      <w:rFonts w:ascii="Times New Roman" w:hAnsi="Times New Roman" w:eastAsia="黑体" w:cs="Times New Roman"/>
      <w:kern w:val="2"/>
      <w:sz w:val="24"/>
      <w:szCs w:val="24"/>
      <w:lang w:val="en-US" w:eastAsia="zh-CN" w:bidi="ar-SA"/>
    </w:rPr>
  </w:style>
  <w:style w:type="paragraph" w:customStyle="1" w:styleId="110">
    <w:name w:val="HCH正文"/>
    <w:qFormat/>
    <w:uiPriority w:val="0"/>
    <w:pPr>
      <w:spacing w:line="360" w:lineRule="auto"/>
      <w:ind w:firstLine="200" w:firstLineChars="200"/>
    </w:pPr>
    <w:rPr>
      <w:rFonts w:ascii="Times New Roman" w:hAnsi="Times New Roman" w:eastAsia="宋体" w:cs="Times New Roman"/>
      <w:bCs/>
      <w:kern w:val="2"/>
      <w:sz w:val="24"/>
      <w:szCs w:val="24"/>
      <w:lang w:val="en-US" w:eastAsia="zh-CN" w:bidi="ar-SA"/>
    </w:rPr>
  </w:style>
  <w:style w:type="paragraph" w:customStyle="1" w:styleId="111">
    <w:name w:val="HCH标题4"/>
    <w:next w:val="110"/>
    <w:uiPriority w:val="0"/>
    <w:pPr>
      <w:numPr>
        <w:ilvl w:val="3"/>
        <w:numId w:val="1"/>
      </w:numPr>
      <w:tabs>
        <w:tab w:val="left" w:pos="960"/>
      </w:tabs>
      <w:spacing w:line="500" w:lineRule="exact"/>
      <w:outlineLvl w:val="3"/>
    </w:pPr>
    <w:rPr>
      <w:rFonts w:ascii="Times New Roman" w:hAnsi="Times New Roman" w:eastAsia="黑体" w:cs="Times New Roman"/>
      <w:kern w:val="2"/>
      <w:sz w:val="24"/>
      <w:szCs w:val="24"/>
      <w:lang w:val="en-US" w:eastAsia="zh-CN" w:bidi="ar-SA"/>
    </w:rPr>
  </w:style>
  <w:style w:type="paragraph" w:customStyle="1" w:styleId="112">
    <w:name w:val="HCH图(表)备注"/>
    <w:next w:val="110"/>
    <w:uiPriority w:val="0"/>
    <w:rPr>
      <w:rFonts w:ascii="Times New Roman" w:hAnsi="Times New Roman" w:eastAsia="宋体" w:cs="Times New Roman"/>
      <w:kern w:val="0"/>
      <w:sz w:val="21"/>
      <w:szCs w:val="21"/>
      <w:lang w:val="en-US" w:eastAsia="zh-CN" w:bidi="ar-SA"/>
    </w:rPr>
  </w:style>
  <w:style w:type="paragraph" w:customStyle="1" w:styleId="113">
    <w:name w:val="HCH标题5"/>
    <w:next w:val="110"/>
    <w:uiPriority w:val="0"/>
    <w:pPr>
      <w:numPr>
        <w:ilvl w:val="4"/>
        <w:numId w:val="1"/>
      </w:numPr>
      <w:spacing w:line="500" w:lineRule="exact"/>
      <w:outlineLvl w:val="4"/>
    </w:pPr>
    <w:rPr>
      <w:rFonts w:ascii="Times New Roman" w:hAnsi="Times New Roman" w:eastAsia="黑体" w:cs="Times New Roman"/>
      <w:kern w:val="2"/>
      <w:sz w:val="24"/>
      <w:szCs w:val="24"/>
      <w:lang w:val="en-US" w:eastAsia="zh-CN" w:bidi="ar-SA"/>
    </w:rPr>
  </w:style>
  <w:style w:type="paragraph" w:customStyle="1" w:styleId="114">
    <w:name w:val="HCH标题1"/>
    <w:next w:val="110"/>
    <w:qFormat/>
    <w:uiPriority w:val="0"/>
    <w:pPr>
      <w:numPr>
        <w:ilvl w:val="0"/>
        <w:numId w:val="1"/>
      </w:numPr>
      <w:spacing w:line="500" w:lineRule="exact"/>
      <w:outlineLvl w:val="0"/>
    </w:pPr>
    <w:rPr>
      <w:rFonts w:ascii="Times New Roman" w:hAnsi="Times New Roman" w:eastAsia="黑体" w:cs="Times New Roman"/>
      <w:bCs/>
      <w:kern w:val="44"/>
      <w:sz w:val="24"/>
      <w:szCs w:val="32"/>
      <w:lang w:val="en-US" w:eastAsia="zh-CN" w:bidi="ar-SA"/>
    </w:rPr>
  </w:style>
  <w:style w:type="paragraph" w:customStyle="1" w:styleId="115">
    <w:name w:val="HCH标题2"/>
    <w:next w:val="110"/>
    <w:uiPriority w:val="0"/>
    <w:pPr>
      <w:numPr>
        <w:ilvl w:val="1"/>
        <w:numId w:val="1"/>
      </w:numPr>
      <w:spacing w:line="500" w:lineRule="exact"/>
      <w:outlineLvl w:val="1"/>
    </w:pPr>
    <w:rPr>
      <w:rFonts w:ascii="Times New Roman" w:hAnsi="Times New Roman" w:eastAsia="黑体" w:cs="Times New Roman"/>
      <w:bCs/>
      <w:kern w:val="2"/>
      <w:sz w:val="24"/>
      <w:szCs w:val="24"/>
      <w:lang w:val="en-US" w:eastAsia="zh-CN" w:bidi="ar-SA"/>
    </w:rPr>
  </w:style>
  <w:style w:type="paragraph" w:customStyle="1" w:styleId="116">
    <w:name w:val="HCH标题3"/>
    <w:next w:val="110"/>
    <w:uiPriority w:val="0"/>
    <w:pPr>
      <w:numPr>
        <w:ilvl w:val="2"/>
        <w:numId w:val="1"/>
      </w:numPr>
      <w:spacing w:line="500" w:lineRule="exact"/>
      <w:outlineLvl w:val="2"/>
    </w:pPr>
    <w:rPr>
      <w:rFonts w:ascii="Times New Roman" w:hAnsi="Times New Roman" w:eastAsia="黑体" w:cs="Times New Roman"/>
      <w:bCs/>
      <w:kern w:val="2"/>
      <w:sz w:val="24"/>
      <w:szCs w:val="24"/>
      <w:lang w:val="en-US" w:eastAsia="zh-CN" w:bidi="ar-SA"/>
    </w:rPr>
  </w:style>
  <w:style w:type="paragraph" w:customStyle="1" w:styleId="117">
    <w:name w:val="Char Char Char Char4"/>
    <w:basedOn w:val="1"/>
    <w:uiPriority w:val="0"/>
    <w:pPr>
      <w:widowControl/>
      <w:ind w:firstLine="0" w:firstLineChars="0"/>
      <w:outlineLvl w:val="0"/>
    </w:pPr>
    <w:rPr>
      <w:rFonts w:cs="Times New Roman"/>
      <w:color w:val="000000"/>
      <w:kern w:val="0"/>
      <w:szCs w:val="28"/>
    </w:rPr>
  </w:style>
  <w:style w:type="paragraph" w:customStyle="1" w:styleId="118">
    <w:name w:val="样式 (西文) Times New Roman 首行缩进:  2 字符 行距: 2 倍行距"/>
    <w:basedOn w:val="1"/>
    <w:uiPriority w:val="0"/>
    <w:rPr>
      <w:rFonts w:cs="Times New Roman"/>
      <w:sz w:val="24"/>
      <w:szCs w:val="20"/>
    </w:rPr>
  </w:style>
  <w:style w:type="paragraph" w:customStyle="1" w:styleId="119">
    <w:name w:val="Char1 Char Char Char"/>
    <w:basedOn w:val="1"/>
    <w:uiPriority w:val="0"/>
    <w:rPr>
      <w:rFonts w:cs="Times New Roman"/>
      <w:sz w:val="21"/>
      <w:szCs w:val="24"/>
    </w:rPr>
  </w:style>
  <w:style w:type="paragraph" w:customStyle="1" w:styleId="120">
    <w:name w:val="正文（用户）"/>
    <w:basedOn w:val="1"/>
    <w:uiPriority w:val="0"/>
    <w:pPr>
      <w:spacing w:line="240" w:lineRule="atLeast"/>
      <w:ind w:firstLine="567" w:firstLineChars="0"/>
    </w:pPr>
    <w:rPr>
      <w:rFonts w:cs="Times New Roman"/>
      <w:szCs w:val="20"/>
    </w:rPr>
  </w:style>
  <w:style w:type="paragraph" w:customStyle="1" w:styleId="121">
    <w:name w:val="p0"/>
    <w:basedOn w:val="1"/>
    <w:uiPriority w:val="0"/>
    <w:pPr>
      <w:widowControl/>
      <w:spacing w:line="240" w:lineRule="auto"/>
      <w:ind w:firstLine="0" w:firstLineChars="0"/>
    </w:pPr>
    <w:rPr>
      <w:rFonts w:cs="Times New Roman"/>
      <w:kern w:val="0"/>
      <w:sz w:val="32"/>
      <w:szCs w:val="32"/>
    </w:rPr>
  </w:style>
  <w:style w:type="paragraph" w:customStyle="1" w:styleId="122">
    <w:name w:val="p15"/>
    <w:basedOn w:val="1"/>
    <w:uiPriority w:val="0"/>
    <w:pPr>
      <w:widowControl/>
      <w:spacing w:line="240" w:lineRule="atLeast"/>
      <w:ind w:firstLine="567" w:firstLineChars="0"/>
    </w:pPr>
    <w:rPr>
      <w:rFonts w:cs="Times New Roman"/>
      <w:kern w:val="0"/>
      <w:szCs w:val="28"/>
    </w:rPr>
  </w:style>
  <w:style w:type="paragraph" w:customStyle="1" w:styleId="123">
    <w:name w:val="p17"/>
    <w:basedOn w:val="1"/>
    <w:uiPriority w:val="0"/>
    <w:pPr>
      <w:widowControl/>
      <w:spacing w:line="240" w:lineRule="atLeast"/>
      <w:ind w:firstLine="567" w:firstLineChars="0"/>
    </w:pPr>
    <w:rPr>
      <w:rFonts w:cs="Times New Roman"/>
      <w:kern w:val="0"/>
      <w:szCs w:val="28"/>
    </w:rPr>
  </w:style>
  <w:style w:type="character" w:customStyle="1" w:styleId="124">
    <w:name w:val="Char Char3"/>
    <w:uiPriority w:val="0"/>
    <w:rPr>
      <w:rFonts w:eastAsia="宋体"/>
      <w:b/>
      <w:bCs/>
      <w:kern w:val="44"/>
      <w:sz w:val="44"/>
      <w:szCs w:val="44"/>
      <w:lang w:val="en-US" w:eastAsia="zh-CN" w:bidi="ar-SA"/>
    </w:rPr>
  </w:style>
  <w:style w:type="table" w:customStyle="1" w:styleId="125">
    <w:name w:val="网格型1"/>
    <w:basedOn w:val="27"/>
    <w:qFormat/>
    <w:uiPriority w:val="0"/>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Char"/>
    <w:basedOn w:val="1"/>
    <w:next w:val="2"/>
    <w:uiPriority w:val="0"/>
    <w:pPr>
      <w:spacing w:before="50" w:beforeLines="50" w:after="50" w:afterLines="50" w:line="240" w:lineRule="auto"/>
      <w:ind w:firstLine="0" w:firstLineChars="0"/>
      <w:jc w:val="center"/>
    </w:pPr>
    <w:rPr>
      <w:rFonts w:ascii="黑体" w:hAnsi="宋体" w:eastAsia="黑体" w:cs="Times New Roman"/>
      <w:sz w:val="36"/>
      <w:szCs w:val="21"/>
    </w:rPr>
  </w:style>
  <w:style w:type="paragraph" w:customStyle="1" w:styleId="127">
    <w:name w:val="Revision"/>
    <w:hidden/>
    <w:semiHidden/>
    <w:uiPriority w:val="99"/>
    <w:rPr>
      <w:rFonts w:ascii="Times New Roman" w:hAnsi="Times New Roman" w:eastAsia="宋体" w:cstheme="minorBidi"/>
      <w:kern w:val="2"/>
      <w:sz w:val="28"/>
      <w:szCs w:val="22"/>
      <w:lang w:val="en-US" w:eastAsia="zh-CN" w:bidi="ar-SA"/>
    </w:rPr>
  </w:style>
  <w:style w:type="table" w:customStyle="1" w:styleId="128">
    <w:name w:val="网格型2"/>
    <w:basedOn w:val="2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9">
    <w:name w:val="Czy正文"/>
    <w:basedOn w:val="1"/>
    <w:uiPriority w:val="0"/>
    <w:pPr>
      <w:textAlignment w:val="baseline"/>
    </w:pPr>
    <w:rPr>
      <w:rFonts w:cs="Times New Roman"/>
      <w:kern w:val="20"/>
      <w:sz w:val="24"/>
      <w:szCs w:val="24"/>
    </w:rPr>
  </w:style>
  <w:style w:type="paragraph" w:customStyle="1" w:styleId="130">
    <w:name w:val="报告正文"/>
    <w:basedOn w:val="1"/>
    <w:uiPriority w:val="0"/>
    <w:pPr>
      <w:ind w:firstLine="600"/>
    </w:pPr>
    <w:rPr>
      <w:rFonts w:cs="Times New Roman"/>
      <w:sz w:val="24"/>
      <w:szCs w:val="24"/>
    </w:rPr>
  </w:style>
  <w:style w:type="character" w:customStyle="1" w:styleId="131">
    <w:name w:val="表头 Char"/>
    <w:link w:val="132"/>
    <w:uiPriority w:val="0"/>
    <w:rPr>
      <w:sz w:val="24"/>
    </w:rPr>
  </w:style>
  <w:style w:type="paragraph" w:customStyle="1" w:styleId="132">
    <w:name w:val="表头"/>
    <w:basedOn w:val="1"/>
    <w:next w:val="1"/>
    <w:link w:val="131"/>
    <w:uiPriority w:val="0"/>
    <w:pPr>
      <w:spacing w:line="240" w:lineRule="auto"/>
    </w:pPr>
    <w:rPr>
      <w:rFonts w:asciiTheme="minorHAnsi" w:hAnsiTheme="minorHAnsi" w:eastAsiaTheme="minorEastAsia"/>
      <w:sz w:val="24"/>
    </w:rPr>
  </w:style>
  <w:style w:type="paragraph" w:customStyle="1" w:styleId="133">
    <w:name w:val="Char Char Char Char3"/>
    <w:basedOn w:val="1"/>
    <w:uiPriority w:val="0"/>
    <w:pPr>
      <w:widowControl/>
      <w:spacing w:after="160" w:line="240" w:lineRule="exact"/>
      <w:ind w:firstLine="0" w:firstLineChars="0"/>
      <w:jc w:val="left"/>
    </w:pPr>
    <w:rPr>
      <w:rFonts w:ascii="Verdana" w:hAnsi="Verdana" w:eastAsia="仿宋_GB2312" w:cs="Times New Roman"/>
      <w:kern w:val="0"/>
      <w:sz w:val="24"/>
      <w:szCs w:val="20"/>
      <w:lang w:eastAsia="en-US"/>
    </w:rPr>
  </w:style>
  <w:style w:type="paragraph" w:customStyle="1" w:styleId="134">
    <w:name w:val="4"/>
    <w:basedOn w:val="11"/>
    <w:next w:val="26"/>
    <w:uiPriority w:val="0"/>
    <w:pPr>
      <w:widowControl w:val="0"/>
      <w:adjustRightInd w:val="0"/>
      <w:snapToGrid w:val="0"/>
      <w:spacing w:before="0" w:beforeAutospacing="0" w:after="120" w:afterAutospacing="0" w:line="480" w:lineRule="exact"/>
      <w:ind w:left="420" w:leftChars="200" w:firstLine="420" w:firstLineChars="200"/>
      <w:jc w:val="both"/>
    </w:pPr>
    <w:rPr>
      <w:rFonts w:ascii="Times New Roman" w:hAnsi="Times New Roman" w:eastAsia="宋体" w:cs="Times New Roman"/>
      <w:kern w:val="2"/>
      <w:sz w:val="21"/>
      <w:szCs w:val="24"/>
    </w:rPr>
  </w:style>
  <w:style w:type="table" w:customStyle="1" w:styleId="135">
    <w:name w:val="网格型3"/>
    <w:basedOn w:val="27"/>
    <w:uiPriority w:val="0"/>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6">
    <w:name w:val="Char Char Char1 Char Char Char Char Char Char Char1"/>
    <w:basedOn w:val="1"/>
    <w:uiPriority w:val="0"/>
    <w:rPr>
      <w:rFonts w:ascii="宋体" w:hAnsi="宋体" w:cs="宋体"/>
      <w:sz w:val="24"/>
      <w:szCs w:val="24"/>
    </w:rPr>
  </w:style>
  <w:style w:type="paragraph" w:customStyle="1" w:styleId="137">
    <w:name w:val="Char Char Char Char2"/>
    <w:basedOn w:val="1"/>
    <w:uiPriority w:val="0"/>
    <w:pPr>
      <w:widowControl/>
      <w:spacing w:after="160" w:line="240" w:lineRule="exact"/>
      <w:ind w:firstLine="0" w:firstLineChars="0"/>
      <w:jc w:val="left"/>
    </w:pPr>
    <w:rPr>
      <w:rFonts w:ascii="Calibri" w:hAnsi="Calibri" w:cs="Times New Roman"/>
      <w:sz w:val="21"/>
    </w:rPr>
  </w:style>
  <w:style w:type="paragraph" w:customStyle="1" w:styleId="138">
    <w:name w:val="Char Char Char1 Char Char Char Char Char Char Char Char Char1"/>
    <w:basedOn w:val="1"/>
    <w:uiPriority w:val="0"/>
    <w:rPr>
      <w:rFonts w:ascii="宋体" w:hAnsi="宋体" w:cs="宋体"/>
      <w:sz w:val="24"/>
      <w:szCs w:val="24"/>
    </w:rPr>
  </w:style>
  <w:style w:type="paragraph" w:customStyle="1" w:styleId="139">
    <w:name w:val="Char Char1 Char Char1"/>
    <w:basedOn w:val="1"/>
    <w:uiPriority w:val="0"/>
    <w:pPr>
      <w:spacing w:line="240" w:lineRule="auto"/>
      <w:ind w:firstLine="0" w:firstLineChars="0"/>
    </w:pPr>
    <w:rPr>
      <w:rFonts w:ascii="Calibri" w:hAnsi="Calibri" w:cs="Times New Roman"/>
      <w:sz w:val="21"/>
    </w:rPr>
  </w:style>
  <w:style w:type="character" w:customStyle="1" w:styleId="140">
    <w:name w:val="正文缩进 Char Char"/>
    <w:uiPriority w:val="0"/>
    <w:rPr>
      <w:kern w:val="2"/>
      <w:sz w:val="24"/>
    </w:rPr>
  </w:style>
  <w:style w:type="paragraph" w:customStyle="1" w:styleId="141">
    <w:name w:val="Char Char11"/>
    <w:basedOn w:val="1"/>
    <w:uiPriority w:val="0"/>
    <w:pPr>
      <w:spacing w:line="240" w:lineRule="auto"/>
      <w:ind w:firstLine="0" w:firstLineChars="0"/>
    </w:pPr>
    <w:rPr>
      <w:rFonts w:cs="Times New Roman"/>
      <w:sz w:val="21"/>
      <w:szCs w:val="24"/>
    </w:rPr>
  </w:style>
  <w:style w:type="character" w:customStyle="1" w:styleId="142">
    <w:name w:val="Char Char2"/>
    <w:uiPriority w:val="0"/>
    <w:rPr>
      <w:rFonts w:eastAsia="宋体"/>
      <w:b/>
      <w:kern w:val="44"/>
      <w:sz w:val="44"/>
      <w:lang w:bidi="ar-SA"/>
    </w:rPr>
  </w:style>
  <w:style w:type="paragraph" w:customStyle="1" w:styleId="143">
    <w:name w:val="1"/>
    <w:basedOn w:val="1"/>
    <w:next w:val="48"/>
    <w:qFormat/>
    <w:uiPriority w:val="0"/>
    <w:pPr>
      <w:widowControl/>
      <w:spacing w:line="500" w:lineRule="exact"/>
      <w:ind w:firstLine="420"/>
    </w:pPr>
    <w:rPr>
      <w:rFonts w:cs="Times New Roman"/>
      <w:sz w:val="24"/>
    </w:rPr>
  </w:style>
  <w:style w:type="paragraph" w:customStyle="1" w:styleId="144">
    <w:name w:val="Char Char Char Char1"/>
    <w:basedOn w:val="1"/>
    <w:uiPriority w:val="0"/>
    <w:pPr>
      <w:widowControl/>
      <w:ind w:firstLine="0" w:firstLineChars="0"/>
      <w:outlineLvl w:val="0"/>
    </w:pPr>
    <w:rPr>
      <w:rFonts w:cs="Times New Roman"/>
      <w:color w:val="000000"/>
      <w:kern w:val="0"/>
      <w:szCs w:val="28"/>
    </w:rPr>
  </w:style>
  <w:style w:type="paragraph" w:customStyle="1" w:styleId="145">
    <w:name w:val="Char1 Char Char Char1"/>
    <w:basedOn w:val="1"/>
    <w:uiPriority w:val="0"/>
    <w:rPr>
      <w:rFonts w:cs="Times New Roman"/>
      <w:sz w:val="21"/>
      <w:szCs w:val="24"/>
    </w:rPr>
  </w:style>
  <w:style w:type="character" w:customStyle="1" w:styleId="146">
    <w:name w:val="批注框文本 Char"/>
    <w:uiPriority w:val="0"/>
    <w:rPr>
      <w:kern w:val="2"/>
      <w:sz w:val="18"/>
      <w:szCs w:val="18"/>
    </w:rPr>
  </w:style>
  <w:style w:type="character" w:customStyle="1" w:styleId="147">
    <w:name w:val="题注 字符"/>
    <w:link w:val="7"/>
    <w:locked/>
    <w:uiPriority w:val="35"/>
    <w:rPr>
      <w:rFonts w:ascii="Times New Roman" w:hAnsi="Times New Roman" w:eastAsia="宋体" w:cs="Times New Roman"/>
      <w:b/>
      <w:sz w:val="28"/>
      <w:szCs w:val="24"/>
    </w:rPr>
  </w:style>
  <w:style w:type="character" w:customStyle="1" w:styleId="148">
    <w:name w:val="表格文字 Char"/>
    <w:link w:val="149"/>
    <w:locked/>
    <w:uiPriority w:val="0"/>
    <w:rPr>
      <w:sz w:val="24"/>
      <w:szCs w:val="24"/>
    </w:rPr>
  </w:style>
  <w:style w:type="paragraph" w:customStyle="1" w:styleId="149">
    <w:name w:val="表格文字"/>
    <w:basedOn w:val="1"/>
    <w:link w:val="148"/>
    <w:uiPriority w:val="0"/>
    <w:pPr>
      <w:snapToGrid w:val="0"/>
      <w:spacing w:line="240" w:lineRule="atLeast"/>
      <w:ind w:firstLine="0" w:firstLineChars="0"/>
      <w:jc w:val="center"/>
    </w:pPr>
    <w:rPr>
      <w:rFonts w:asciiTheme="minorHAnsi" w:hAnsiTheme="minorHAnsi" w:eastAsiaTheme="minorEastAsia"/>
      <w:sz w:val="24"/>
      <w:szCs w:val="24"/>
    </w:rPr>
  </w:style>
  <w:style w:type="paragraph" w:customStyle="1" w:styleId="150">
    <w:name w:val="GDCI正文"/>
    <w:qFormat/>
    <w:uiPriority w:val="0"/>
    <w:pPr>
      <w:widowControl w:val="0"/>
      <w:snapToGrid w:val="0"/>
      <w:spacing w:beforeLines="20" w:afterLines="20" w:line="312" w:lineRule="auto"/>
      <w:ind w:firstLine="200" w:firstLineChars="200"/>
    </w:pPr>
    <w:rPr>
      <w:rFonts w:ascii="Times New Roman" w:hAnsi="Times New Roman" w:eastAsia="宋体" w:cs="宋体"/>
      <w:kern w:val="2"/>
      <w:sz w:val="24"/>
      <w:szCs w:val="20"/>
      <w:lang w:val="en-US" w:eastAsia="zh-CN" w:bidi="ar-SA"/>
    </w:rPr>
  </w:style>
  <w:style w:type="character" w:customStyle="1" w:styleId="151">
    <w:name w:val="gc正文 Char"/>
    <w:link w:val="152"/>
    <w:uiPriority w:val="0"/>
    <w:rPr>
      <w:rFonts w:ascii="Times New Roman" w:hAnsi="Times New Roman"/>
      <w:bCs/>
      <w:sz w:val="28"/>
    </w:rPr>
  </w:style>
  <w:style w:type="paragraph" w:customStyle="1" w:styleId="152">
    <w:name w:val="gc正文"/>
    <w:basedOn w:val="1"/>
    <w:link w:val="151"/>
    <w:qFormat/>
    <w:uiPriority w:val="0"/>
    <w:pPr>
      <w:ind w:firstLine="482" w:firstLineChars="0"/>
    </w:pPr>
    <w:rPr>
      <w:rFonts w:eastAsiaTheme="minorEastAsia"/>
      <w:bCs/>
    </w:rPr>
  </w:style>
  <w:style w:type="paragraph" w:customStyle="1" w:styleId="153">
    <w:name w:val="xl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sz w:val="24"/>
      <w:szCs w:val="24"/>
    </w:rPr>
  </w:style>
  <w:style w:type="paragraph" w:customStyle="1" w:styleId="154">
    <w:name w:val="xl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sz w:val="24"/>
      <w:szCs w:val="24"/>
    </w:rPr>
  </w:style>
  <w:style w:type="paragraph" w:customStyle="1" w:styleId="155">
    <w:name w:val="xl6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sz w:val="24"/>
      <w:szCs w:val="24"/>
    </w:rPr>
  </w:style>
  <w:style w:type="paragraph" w:customStyle="1" w:styleId="156">
    <w:name w:val="xl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157">
    <w:name w:val="xl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sz w:val="24"/>
      <w:szCs w:val="24"/>
    </w:rPr>
  </w:style>
  <w:style w:type="paragraph" w:customStyle="1" w:styleId="158">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159">
    <w:name w:val="font5"/>
    <w:basedOn w:val="1"/>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60">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sz w:val="24"/>
      <w:szCs w:val="24"/>
    </w:rPr>
  </w:style>
  <w:style w:type="paragraph" w:customStyle="1" w:styleId="161">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162">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4"/>
      <w:szCs w:val="24"/>
    </w:rPr>
  </w:style>
  <w:style w:type="paragraph" w:customStyle="1" w:styleId="163">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4"/>
      <w:szCs w:val="24"/>
    </w:rPr>
  </w:style>
  <w:style w:type="paragraph" w:customStyle="1" w:styleId="164">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4"/>
      <w:szCs w:val="24"/>
    </w:rPr>
  </w:style>
  <w:style w:type="paragraph" w:customStyle="1" w:styleId="165">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4"/>
      <w:szCs w:val="24"/>
    </w:rPr>
  </w:style>
  <w:style w:type="paragraph" w:customStyle="1" w:styleId="166">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4"/>
      <w:szCs w:val="24"/>
    </w:rPr>
  </w:style>
  <w:style w:type="paragraph" w:customStyle="1" w:styleId="167">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4"/>
      <w:szCs w:val="24"/>
    </w:rPr>
  </w:style>
  <w:style w:type="paragraph" w:customStyle="1" w:styleId="168">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4"/>
      <w:szCs w:val="24"/>
    </w:rPr>
  </w:style>
  <w:style w:type="paragraph" w:customStyle="1" w:styleId="169">
    <w:name w:val="msonormal"/>
    <w:basedOn w:val="1"/>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170">
    <w:name w:val="font6"/>
    <w:basedOn w:val="1"/>
    <w:uiPriority w:val="0"/>
    <w:pPr>
      <w:widowControl/>
      <w:spacing w:before="100" w:beforeAutospacing="1" w:after="100" w:afterAutospacing="1" w:line="240" w:lineRule="auto"/>
      <w:ind w:firstLine="0" w:firstLineChars="0"/>
      <w:jc w:val="left"/>
    </w:pPr>
    <w:rPr>
      <w:rFonts w:ascii="宋体" w:hAnsi="宋体" w:cs="宋体"/>
      <w:kern w:val="0"/>
      <w:sz w:val="22"/>
    </w:rPr>
  </w:style>
  <w:style w:type="paragraph" w:customStyle="1" w:styleId="171">
    <w:name w:val="font7"/>
    <w:basedOn w:val="1"/>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72">
    <w:name w:val="xl6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kern w:val="0"/>
      <w:sz w:val="22"/>
    </w:rPr>
  </w:style>
  <w:style w:type="paragraph" w:customStyle="1" w:styleId="173">
    <w:name w:val="xl74"/>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kern w:val="0"/>
      <w:sz w:val="22"/>
    </w:rPr>
  </w:style>
  <w:style w:type="paragraph" w:customStyle="1" w:styleId="174">
    <w:name w:val="xl7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kern w:val="0"/>
      <w:sz w:val="22"/>
    </w:rPr>
  </w:style>
  <w:style w:type="paragraph" w:customStyle="1" w:styleId="175">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176">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4"/>
      <w:szCs w:val="24"/>
    </w:rPr>
  </w:style>
  <w:style w:type="paragraph" w:customStyle="1" w:styleId="177">
    <w:name w:val="font0"/>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2"/>
    </w:rPr>
  </w:style>
  <w:style w:type="character" w:customStyle="1" w:styleId="178">
    <w:name w:val="页脚 字符1"/>
    <w:qFormat/>
    <w:uiPriority w:val="99"/>
    <w:rPr>
      <w:sz w:val="18"/>
      <w:szCs w:val="18"/>
    </w:rPr>
  </w:style>
  <w:style w:type="character" w:customStyle="1" w:styleId="179">
    <w:name w:val="页眉 字符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tiff"/><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wmf"/><Relationship Id="rId31" Type="http://schemas.openxmlformats.org/officeDocument/2006/relationships/image" Target="media/image12.wmf"/><Relationship Id="rId30" Type="http://schemas.openxmlformats.org/officeDocument/2006/relationships/image" Target="media/image11.wmf"/><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image" Target="media/image9.wmf"/><Relationship Id="rId27" Type="http://schemas.openxmlformats.org/officeDocument/2006/relationships/image" Target="media/image8.wmf"/><Relationship Id="rId26" Type="http://schemas.openxmlformats.org/officeDocument/2006/relationships/image" Target="media/image7.png"/><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4461D2-A1F0-4BAC-A6B7-C4B5D81251F6}">
  <ds:schemaRefs/>
</ds:datastoreItem>
</file>

<file path=docProps/app.xml><?xml version="1.0" encoding="utf-8"?>
<Properties xmlns="http://schemas.openxmlformats.org/officeDocument/2006/extended-properties" xmlns:vt="http://schemas.openxmlformats.org/officeDocument/2006/docPropsVTypes">
  <Template>Normal</Template>
  <Pages>60</Pages>
  <Words>4611</Words>
  <Characters>26284</Characters>
  <Lines>219</Lines>
  <Paragraphs>61</Paragraphs>
  <TotalTime>1126</TotalTime>
  <ScaleCrop>false</ScaleCrop>
  <LinksUpToDate>false</LinksUpToDate>
  <CharactersWithSpaces>30834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2020-10-15T12:46:00Z</dcterms:created>
  <dc:creator>admin</dc:creator>
  <cp:lastModifiedBy>晓斌</cp:lastModifiedBy>
  <cp:lastPrinted>2020-11-16T01:54:00Z</cp:lastPrinted>
  <dcterms:modified xsi:type="dcterms:W3CDTF">2020-11-19T07:45:37Z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